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2D" w:rsidRDefault="00420541">
      <w:pPr>
        <w:jc w:val="center"/>
        <w:rPr>
          <w:rFonts w:ascii="仿宋" w:eastAsia="仿宋" w:hAnsi="仿宋" w:cs="仿宋"/>
          <w:b/>
          <w:bCs/>
          <w:sz w:val="28"/>
          <w:szCs w:val="28"/>
        </w:rPr>
      </w:pPr>
      <w:r>
        <w:rPr>
          <w:rFonts w:ascii="仿宋" w:eastAsia="仿宋" w:hAnsi="仿宋" w:cs="仿宋" w:hint="eastAsia"/>
          <w:b/>
          <w:bCs/>
          <w:sz w:val="28"/>
          <w:szCs w:val="28"/>
        </w:rPr>
        <w:t>2018年债券市场违约情况总结及分析</w:t>
      </w:r>
    </w:p>
    <w:p w:rsidR="0033212D" w:rsidRDefault="0033212D">
      <w:pPr>
        <w:jc w:val="center"/>
        <w:rPr>
          <w:rFonts w:ascii="仿宋" w:eastAsia="仿宋" w:hAnsi="仿宋" w:cs="仿宋"/>
          <w:b/>
          <w:bCs/>
          <w:sz w:val="28"/>
          <w:szCs w:val="28"/>
        </w:rPr>
      </w:pPr>
    </w:p>
    <w:p w:rsidR="0033212D" w:rsidRDefault="00420541">
      <w:pPr>
        <w:spacing w:line="360" w:lineRule="auto"/>
        <w:ind w:firstLineChars="200" w:firstLine="480"/>
        <w:jc w:val="left"/>
        <w:rPr>
          <w:rFonts w:ascii="宋体" w:eastAsia="宋体" w:hAnsi="宋体"/>
          <w:color w:val="000000"/>
          <w:sz w:val="23"/>
        </w:rPr>
      </w:pPr>
      <w:r>
        <w:rPr>
          <w:rFonts w:ascii="仿宋" w:eastAsia="仿宋" w:hAnsi="仿宋" w:cs="仿宋"/>
          <w:bCs/>
          <w:color w:val="000000"/>
          <w:sz w:val="24"/>
        </w:rPr>
        <w:t>2018年</w:t>
      </w:r>
      <w:r>
        <w:rPr>
          <w:rFonts w:ascii="仿宋" w:eastAsia="仿宋" w:hAnsi="仿宋" w:cs="仿宋" w:hint="eastAsia"/>
          <w:bCs/>
          <w:color w:val="000000"/>
          <w:sz w:val="24"/>
        </w:rPr>
        <w:t>国内外经济形势出现波动，我国</w:t>
      </w:r>
      <w:r>
        <w:rPr>
          <w:rFonts w:ascii="仿宋" w:eastAsia="仿宋" w:hAnsi="仿宋" w:cs="仿宋"/>
          <w:bCs/>
          <w:color w:val="000000"/>
          <w:sz w:val="24"/>
        </w:rPr>
        <w:t>GDP同比增速6.6%</w:t>
      </w:r>
      <w:r>
        <w:rPr>
          <w:rFonts w:ascii="仿宋" w:eastAsia="仿宋" w:hAnsi="仿宋" w:cs="仿宋" w:hint="eastAsia"/>
          <w:bCs/>
          <w:color w:val="000000"/>
          <w:sz w:val="24"/>
        </w:rPr>
        <w:t>，增速</w:t>
      </w:r>
      <w:r>
        <w:rPr>
          <w:rFonts w:ascii="仿宋" w:eastAsia="仿宋" w:hAnsi="仿宋" w:cs="仿宋"/>
          <w:bCs/>
          <w:color w:val="000000"/>
          <w:sz w:val="24"/>
        </w:rPr>
        <w:t>为近年来最低，</w:t>
      </w:r>
      <w:r>
        <w:rPr>
          <w:rFonts w:ascii="仿宋" w:eastAsia="仿宋" w:hAnsi="仿宋" w:cs="仿宋" w:hint="eastAsia"/>
          <w:bCs/>
          <w:color w:val="000000"/>
          <w:sz w:val="24"/>
        </w:rPr>
        <w:t>同时受到中美贸易摩擦升级等外部经济环境变化影响，</w:t>
      </w:r>
      <w:r>
        <w:rPr>
          <w:rFonts w:ascii="仿宋" w:eastAsia="仿宋" w:hAnsi="仿宋" w:cs="仿宋"/>
          <w:bCs/>
          <w:color w:val="000000"/>
          <w:sz w:val="24"/>
        </w:rPr>
        <w:t>经济增速放缓背景下总需求减少</w:t>
      </w:r>
      <w:r>
        <w:rPr>
          <w:rFonts w:ascii="仿宋" w:eastAsia="仿宋" w:hAnsi="仿宋" w:cs="仿宋" w:hint="eastAsia"/>
          <w:bCs/>
          <w:color w:val="000000"/>
          <w:sz w:val="24"/>
        </w:rPr>
        <w:t>导致</w:t>
      </w:r>
      <w:r>
        <w:rPr>
          <w:rFonts w:ascii="仿宋" w:eastAsia="仿宋" w:hAnsi="仿宋" w:cs="仿宋"/>
          <w:bCs/>
          <w:color w:val="000000"/>
          <w:sz w:val="24"/>
        </w:rPr>
        <w:t>企业盈利能力</w:t>
      </w:r>
      <w:r>
        <w:rPr>
          <w:rFonts w:ascii="仿宋" w:eastAsia="仿宋" w:hAnsi="仿宋" w:cs="仿宋" w:hint="eastAsia"/>
          <w:bCs/>
          <w:color w:val="000000"/>
          <w:sz w:val="24"/>
        </w:rPr>
        <w:t>出现</w:t>
      </w:r>
      <w:r>
        <w:rPr>
          <w:rFonts w:ascii="仿宋" w:eastAsia="仿宋" w:hAnsi="仿宋" w:cs="仿宋"/>
          <w:bCs/>
          <w:color w:val="000000"/>
          <w:sz w:val="24"/>
        </w:rPr>
        <w:t>下降</w:t>
      </w:r>
      <w:r>
        <w:rPr>
          <w:rFonts w:ascii="仿宋" w:eastAsia="仿宋" w:hAnsi="仿宋" w:cs="仿宋" w:hint="eastAsia"/>
          <w:bCs/>
          <w:color w:val="000000"/>
          <w:sz w:val="24"/>
        </w:rPr>
        <w:t>，企业</w:t>
      </w:r>
      <w:r>
        <w:rPr>
          <w:rFonts w:ascii="仿宋" w:eastAsia="仿宋" w:hAnsi="仿宋" w:cs="仿宋"/>
          <w:bCs/>
          <w:color w:val="000000"/>
          <w:sz w:val="24"/>
        </w:rPr>
        <w:t>经营能力和资金周转能力短时间内难以改善</w:t>
      </w:r>
      <w:r>
        <w:rPr>
          <w:rFonts w:ascii="仿宋" w:eastAsia="仿宋" w:hAnsi="仿宋" w:cs="仿宋" w:hint="eastAsia"/>
          <w:bCs/>
          <w:color w:val="000000"/>
          <w:sz w:val="24"/>
        </w:rPr>
        <w:t>，</w:t>
      </w:r>
      <w:r>
        <w:rPr>
          <w:rFonts w:ascii="仿宋" w:eastAsia="仿宋" w:hAnsi="仿宋" w:cs="仿宋"/>
          <w:bCs/>
          <w:color w:val="000000"/>
          <w:sz w:val="24"/>
        </w:rPr>
        <w:t>整体信用风险加大。</w:t>
      </w:r>
      <w:r>
        <w:rPr>
          <w:rFonts w:ascii="仿宋" w:eastAsia="仿宋" w:hAnsi="仿宋" w:cs="仿宋" w:hint="eastAsia"/>
          <w:bCs/>
          <w:color w:val="000000"/>
          <w:sz w:val="24"/>
        </w:rPr>
        <w:t>同时2018</w:t>
      </w:r>
      <w:r>
        <w:rPr>
          <w:rFonts w:ascii="仿宋" w:eastAsia="仿宋" w:hAnsi="仿宋" w:cs="仿宋"/>
          <w:bCs/>
          <w:color w:val="000000"/>
          <w:sz w:val="24"/>
        </w:rPr>
        <w:t>年我国主要信用债到期规模为近年来</w:t>
      </w:r>
      <w:r>
        <w:rPr>
          <w:rFonts w:ascii="仿宋" w:eastAsia="仿宋" w:hAnsi="仿宋" w:cs="仿宋" w:hint="eastAsia"/>
          <w:bCs/>
          <w:color w:val="000000"/>
          <w:sz w:val="24"/>
        </w:rPr>
        <w:t>最大。加之</w:t>
      </w:r>
      <w:r>
        <w:rPr>
          <w:rFonts w:ascii="仿宋" w:eastAsia="仿宋" w:hAnsi="仿宋" w:cs="仿宋"/>
          <w:bCs/>
          <w:color w:val="000000"/>
          <w:sz w:val="24"/>
        </w:rPr>
        <w:t>2018年以来的金融严监管叠加政府债务严监管</w:t>
      </w:r>
      <w:r>
        <w:rPr>
          <w:rFonts w:ascii="仿宋" w:eastAsia="仿宋" w:hAnsi="仿宋" w:cs="仿宋" w:hint="eastAsia"/>
          <w:bCs/>
          <w:color w:val="000000"/>
          <w:sz w:val="24"/>
        </w:rPr>
        <w:t>，</w:t>
      </w:r>
      <w:r>
        <w:rPr>
          <w:rFonts w:ascii="仿宋" w:eastAsia="仿宋" w:hAnsi="仿宋" w:cs="仿宋"/>
          <w:bCs/>
          <w:color w:val="000000"/>
          <w:sz w:val="24"/>
        </w:rPr>
        <w:t>融资环境趋紧，企业再融资受限导致资金链断裂</w:t>
      </w:r>
      <w:r>
        <w:rPr>
          <w:rFonts w:ascii="仿宋" w:eastAsia="仿宋" w:hAnsi="仿宋" w:cs="仿宋" w:hint="eastAsia"/>
          <w:bCs/>
          <w:color w:val="000000"/>
          <w:sz w:val="24"/>
        </w:rPr>
        <w:t>。上述多种因素，导致2018年债券市场出现违约主体数量及违约债券金额均达到近年最高水平。</w:t>
      </w:r>
    </w:p>
    <w:p w:rsidR="0033212D" w:rsidRDefault="0033212D">
      <w:pPr>
        <w:jc w:val="left"/>
        <w:rPr>
          <w:rFonts w:ascii="仿宋" w:eastAsia="仿宋" w:hAnsi="仿宋" w:cs="仿宋"/>
          <w:sz w:val="28"/>
          <w:szCs w:val="28"/>
        </w:rPr>
      </w:pPr>
    </w:p>
    <w:p w:rsidR="0033212D" w:rsidRDefault="00420541">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一、2018年债券市场违约情况总结</w:t>
      </w:r>
    </w:p>
    <w:p w:rsidR="0033212D" w:rsidRDefault="00420541">
      <w:pPr>
        <w:spacing w:line="360" w:lineRule="auto"/>
        <w:ind w:firstLineChars="200" w:firstLine="482"/>
        <w:jc w:val="left"/>
        <w:rPr>
          <w:rFonts w:ascii="仿宋" w:eastAsia="仿宋" w:hAnsi="仿宋" w:cs="仿宋"/>
          <w:bCs/>
          <w:color w:val="0000FF"/>
          <w:sz w:val="24"/>
        </w:rPr>
      </w:pPr>
      <w:r>
        <w:rPr>
          <w:rFonts w:ascii="仿宋" w:eastAsia="仿宋" w:hAnsi="仿宋" w:cs="仿宋" w:hint="eastAsia"/>
          <w:b/>
          <w:color w:val="0000FF"/>
          <w:sz w:val="24"/>
        </w:rPr>
        <w:t>1、债券市场违约事件明显增加</w:t>
      </w:r>
      <w:r>
        <w:rPr>
          <w:rFonts w:ascii="仿宋" w:eastAsia="仿宋" w:hAnsi="仿宋" w:cs="仿宋" w:hint="eastAsia"/>
          <w:bCs/>
          <w:color w:val="0000FF"/>
          <w:sz w:val="24"/>
        </w:rPr>
        <w:t xml:space="preserve"> </w:t>
      </w:r>
    </w:p>
    <w:p w:rsidR="003D4320" w:rsidRDefault="00420541" w:rsidP="003D4320">
      <w:pPr>
        <w:spacing w:line="360" w:lineRule="auto"/>
        <w:ind w:firstLineChars="200" w:firstLine="480"/>
        <w:jc w:val="left"/>
        <w:rPr>
          <w:rFonts w:ascii="仿宋" w:eastAsia="仿宋" w:hAnsi="仿宋" w:cs="仿宋"/>
          <w:bCs/>
          <w:color w:val="0000FF"/>
          <w:sz w:val="24"/>
        </w:rPr>
      </w:pPr>
      <w:r>
        <w:rPr>
          <w:rFonts w:ascii="仿宋" w:eastAsia="仿宋" w:hAnsi="仿宋" w:cs="仿宋"/>
          <w:bCs/>
          <w:color w:val="000000"/>
          <w:sz w:val="24"/>
        </w:rPr>
        <w:t>观察历年违约情况，</w:t>
      </w:r>
      <w:r>
        <w:rPr>
          <w:rFonts w:ascii="仿宋" w:eastAsia="仿宋" w:hAnsi="仿宋" w:cs="仿宋" w:hint="eastAsia"/>
          <w:bCs/>
          <w:color w:val="000000"/>
          <w:sz w:val="24"/>
        </w:rPr>
        <w:t>2018年</w:t>
      </w:r>
      <w:r>
        <w:rPr>
          <w:rFonts w:ascii="仿宋" w:eastAsia="仿宋" w:hAnsi="仿宋" w:cs="仿宋"/>
          <w:bCs/>
          <w:color w:val="000000"/>
          <w:sz w:val="24"/>
        </w:rPr>
        <w:t>新增违约主体数量以及涉及违约债券期数达到了以往各年之最。</w:t>
      </w:r>
      <w:r>
        <w:rPr>
          <w:rFonts w:ascii="仿宋" w:eastAsia="仿宋" w:hAnsi="仿宋" w:cs="仿宋"/>
          <w:bCs/>
          <w:color w:val="0000FF"/>
          <w:sz w:val="24"/>
        </w:rPr>
        <w:t>2018年我国债券市场新增违约发行人43家，</w:t>
      </w:r>
      <w:r w:rsidR="003D4320">
        <w:rPr>
          <w:rFonts w:ascii="仿宋" w:eastAsia="仿宋" w:hAnsi="仿宋" w:cs="仿宋"/>
          <w:bCs/>
          <w:color w:val="0000FF"/>
          <w:sz w:val="24"/>
        </w:rPr>
        <w:t>其中抵御风险能力较差的民企，在此次违约周期中最为</w:t>
      </w:r>
      <w:r w:rsidR="00FE4EF1">
        <w:rPr>
          <w:rFonts w:ascii="仿宋" w:eastAsia="仿宋" w:hAnsi="仿宋" w:cs="仿宋"/>
          <w:bCs/>
          <w:color w:val="0000FF"/>
          <w:sz w:val="24"/>
        </w:rPr>
        <w:t>受伤，占新增违约主体总数的80%，</w:t>
      </w:r>
      <w:r w:rsidR="00794AF7" w:rsidRPr="00794AF7">
        <w:rPr>
          <w:rFonts w:ascii="仿宋" w:eastAsia="仿宋" w:hAnsi="仿宋" w:cs="仿宋" w:hint="eastAsia"/>
          <w:bCs/>
          <w:color w:val="0000FF"/>
          <w:sz w:val="24"/>
        </w:rPr>
        <w:t>民企依旧是发生债券违约的“高危”主体，国企也不再是债券的“避风港”。</w:t>
      </w:r>
      <w:r w:rsidR="003D4320">
        <w:rPr>
          <w:rFonts w:ascii="仿宋" w:eastAsia="仿宋" w:hAnsi="仿宋" w:cs="仿宋"/>
          <w:bCs/>
          <w:color w:val="0000FF"/>
          <w:sz w:val="24"/>
        </w:rPr>
        <w:t>如图：</w:t>
      </w:r>
    </w:p>
    <w:p w:rsidR="00017FBE" w:rsidRPr="003D4320" w:rsidRDefault="003D4320" w:rsidP="003D4320">
      <w:pPr>
        <w:spacing w:line="360" w:lineRule="auto"/>
        <w:ind w:firstLineChars="200" w:firstLine="482"/>
        <w:jc w:val="center"/>
        <w:rPr>
          <w:rFonts w:ascii="仿宋" w:eastAsia="仿宋" w:hAnsi="仿宋" w:cs="仿宋"/>
          <w:b/>
          <w:bCs/>
          <w:color w:val="0000FF"/>
          <w:sz w:val="24"/>
        </w:rPr>
      </w:pPr>
      <w:r w:rsidRPr="003D4320">
        <w:rPr>
          <w:rFonts w:ascii="仿宋" w:eastAsia="仿宋" w:hAnsi="仿宋" w:cs="仿宋" w:hint="eastAsia"/>
          <w:b/>
          <w:bCs/>
          <w:color w:val="0000FF"/>
          <w:sz w:val="24"/>
        </w:rPr>
        <w:t>债券市场历年新增违约主体数量（单位：家）</w:t>
      </w:r>
    </w:p>
    <w:p w:rsidR="00017FBE" w:rsidRDefault="00017FBE">
      <w:pPr>
        <w:spacing w:line="360" w:lineRule="auto"/>
        <w:ind w:firstLineChars="200" w:firstLine="420"/>
        <w:jc w:val="left"/>
        <w:rPr>
          <w:rFonts w:ascii="仿宋" w:eastAsia="仿宋" w:hAnsi="仿宋" w:cs="仿宋"/>
          <w:bCs/>
          <w:color w:val="0000FF"/>
          <w:sz w:val="24"/>
        </w:rPr>
      </w:pPr>
      <w:r>
        <w:rPr>
          <w:noProof/>
        </w:rPr>
        <w:lastRenderedPageBreak/>
        <w:drawing>
          <wp:inline distT="0" distB="0" distL="0" distR="0" wp14:anchorId="5ED7434E" wp14:editId="5BBB4B1D">
            <wp:extent cx="4790476" cy="287619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90476" cy="2876190"/>
                    </a:xfrm>
                    <a:prstGeom prst="rect">
                      <a:avLst/>
                    </a:prstGeom>
                  </pic:spPr>
                </pic:pic>
              </a:graphicData>
            </a:graphic>
          </wp:inline>
        </w:drawing>
      </w:r>
    </w:p>
    <w:p w:rsidR="006B0A53" w:rsidRDefault="00BE4E55" w:rsidP="005A754E">
      <w:pPr>
        <w:spacing w:line="360" w:lineRule="auto"/>
        <w:ind w:firstLineChars="200" w:firstLine="480"/>
        <w:rPr>
          <w:rFonts w:ascii="仿宋" w:eastAsia="仿宋" w:hAnsi="仿宋" w:cs="仿宋"/>
          <w:bCs/>
          <w:color w:val="000000"/>
          <w:sz w:val="24"/>
        </w:rPr>
      </w:pPr>
      <w:r w:rsidRPr="00437147">
        <w:rPr>
          <w:rFonts w:ascii="仿宋" w:eastAsia="仿宋" w:hAnsi="仿宋" w:cs="仿宋" w:hint="eastAsia"/>
          <w:bCs/>
          <w:color w:val="000000"/>
          <w:sz w:val="24"/>
        </w:rPr>
        <w:t>观察</w:t>
      </w:r>
      <w:r w:rsidR="000D7F7E">
        <w:rPr>
          <w:rFonts w:ascii="仿宋" w:eastAsia="仿宋" w:hAnsi="仿宋" w:cs="仿宋" w:hint="eastAsia"/>
          <w:bCs/>
          <w:color w:val="000000"/>
          <w:sz w:val="24"/>
        </w:rPr>
        <w:t>近5年债券</w:t>
      </w:r>
      <w:r w:rsidRPr="00437147">
        <w:rPr>
          <w:rFonts w:ascii="仿宋" w:eastAsia="仿宋" w:hAnsi="仿宋" w:cs="仿宋" w:hint="eastAsia"/>
          <w:bCs/>
          <w:color w:val="000000"/>
          <w:sz w:val="24"/>
        </w:rPr>
        <w:t>违约情况，我们发现</w:t>
      </w:r>
      <w:r w:rsidR="00956ABE">
        <w:rPr>
          <w:rFonts w:ascii="仿宋" w:eastAsia="仿宋" w:hAnsi="仿宋" w:cs="仿宋"/>
          <w:bCs/>
          <w:color w:val="000000"/>
          <w:sz w:val="24"/>
        </w:rPr>
        <w:t>可见，2018年</w:t>
      </w:r>
      <w:r w:rsidR="00437147">
        <w:rPr>
          <w:rFonts w:ascii="仿宋" w:eastAsia="仿宋" w:hAnsi="仿宋" w:cs="仿宋"/>
          <w:bCs/>
          <w:color w:val="000000"/>
          <w:sz w:val="24"/>
        </w:rPr>
        <w:t>债券新增违</w:t>
      </w:r>
      <w:r w:rsidR="00956ABE">
        <w:rPr>
          <w:rFonts w:ascii="仿宋" w:eastAsia="仿宋" w:hAnsi="仿宋" w:cs="仿宋"/>
          <w:bCs/>
          <w:color w:val="000000"/>
          <w:sz w:val="24"/>
        </w:rPr>
        <w:t>约数量</w:t>
      </w:r>
      <w:r w:rsidR="004252B1">
        <w:rPr>
          <w:rFonts w:ascii="仿宋" w:eastAsia="仿宋" w:hAnsi="仿宋" w:cs="仿宋"/>
          <w:bCs/>
          <w:color w:val="000000"/>
          <w:sz w:val="24"/>
        </w:rPr>
        <w:t>及新增违约债券规模</w:t>
      </w:r>
      <w:r w:rsidR="00502C44">
        <w:rPr>
          <w:rFonts w:ascii="仿宋" w:eastAsia="仿宋" w:hAnsi="仿宋" w:cs="仿宋"/>
          <w:bCs/>
          <w:color w:val="000000"/>
          <w:sz w:val="24"/>
        </w:rPr>
        <w:t>均</w:t>
      </w:r>
      <w:r w:rsidR="00956ABE">
        <w:rPr>
          <w:rFonts w:ascii="仿宋" w:eastAsia="仿宋" w:hAnsi="仿宋" w:cs="仿宋"/>
          <w:bCs/>
          <w:color w:val="000000"/>
          <w:sz w:val="24"/>
        </w:rPr>
        <w:t>达到了近5年的峰值</w:t>
      </w:r>
      <w:r w:rsidR="00437147">
        <w:rPr>
          <w:rFonts w:ascii="仿宋" w:eastAsia="仿宋" w:hAnsi="仿宋" w:cs="仿宋"/>
          <w:bCs/>
          <w:color w:val="000000"/>
          <w:sz w:val="24"/>
        </w:rPr>
        <w:t>，</w:t>
      </w:r>
      <w:r w:rsidR="00690906">
        <w:rPr>
          <w:rFonts w:ascii="仿宋" w:eastAsia="仿宋" w:hAnsi="仿宋" w:cs="仿宋"/>
          <w:bCs/>
          <w:color w:val="000000"/>
          <w:sz w:val="24"/>
        </w:rPr>
        <w:t>且</w:t>
      </w:r>
      <w:r w:rsidR="00437147" w:rsidRPr="00437147">
        <w:rPr>
          <w:rFonts w:ascii="仿宋" w:eastAsia="仿宋" w:hAnsi="仿宋" w:cs="仿宋" w:hint="eastAsia"/>
          <w:bCs/>
          <w:color w:val="000000"/>
          <w:sz w:val="24"/>
        </w:rPr>
        <w:t>新增违约主体数量以及新增违约债券规模相对较大，其中又以民企居多，国企违约相对较少。</w:t>
      </w:r>
    </w:p>
    <w:p w:rsidR="00720FD5" w:rsidRPr="00720FD5" w:rsidRDefault="00720FD5" w:rsidP="005A754E">
      <w:pPr>
        <w:spacing w:line="360" w:lineRule="auto"/>
        <w:ind w:firstLineChars="200" w:firstLine="482"/>
        <w:rPr>
          <w:rFonts w:ascii="仿宋" w:eastAsia="仿宋" w:hAnsi="仿宋" w:cs="仿宋"/>
          <w:b/>
          <w:bCs/>
          <w:color w:val="000000"/>
          <w:sz w:val="24"/>
        </w:rPr>
      </w:pPr>
      <w:r w:rsidRPr="00720FD5">
        <w:rPr>
          <w:rFonts w:ascii="仿宋" w:eastAsia="仿宋" w:hAnsi="仿宋" w:cs="仿宋" w:hint="eastAsia"/>
          <w:b/>
          <w:bCs/>
          <w:color w:val="000000"/>
          <w:sz w:val="24"/>
        </w:rPr>
        <w:t>债券市场历年新增违约债券数量及规模（单位：只、亿元）</w:t>
      </w:r>
    </w:p>
    <w:p w:rsidR="005A754E" w:rsidRDefault="00965EF8">
      <w:pPr>
        <w:spacing w:line="360" w:lineRule="auto"/>
        <w:ind w:firstLineChars="200" w:firstLine="420"/>
        <w:jc w:val="left"/>
        <w:rPr>
          <w:rFonts w:ascii="仿宋" w:eastAsia="仿宋" w:hAnsi="仿宋" w:cs="仿宋"/>
          <w:bCs/>
          <w:color w:val="000000"/>
          <w:sz w:val="24"/>
        </w:rPr>
      </w:pPr>
      <w:r>
        <w:rPr>
          <w:noProof/>
        </w:rPr>
        <w:drawing>
          <wp:inline distT="0" distB="0" distL="0" distR="0" wp14:anchorId="0E32DD9C" wp14:editId="13707337">
            <wp:extent cx="4561905" cy="2647619"/>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61905" cy="2647619"/>
                    </a:xfrm>
                    <a:prstGeom prst="rect">
                      <a:avLst/>
                    </a:prstGeom>
                  </pic:spPr>
                </pic:pic>
              </a:graphicData>
            </a:graphic>
          </wp:inline>
        </w:drawing>
      </w:r>
    </w:p>
    <w:p w:rsidR="00002657" w:rsidRDefault="005102AA" w:rsidP="0043669C">
      <w:pPr>
        <w:spacing w:line="360" w:lineRule="auto"/>
        <w:jc w:val="left"/>
        <w:rPr>
          <w:rFonts w:ascii="仿宋" w:eastAsia="仿宋" w:hAnsi="仿宋" w:cs="仿宋"/>
          <w:bCs/>
          <w:color w:val="000000"/>
          <w:sz w:val="24"/>
        </w:rPr>
      </w:pPr>
      <w:r>
        <w:rPr>
          <w:rFonts w:ascii="仿宋" w:eastAsia="仿宋" w:hAnsi="仿宋" w:cs="仿宋" w:hint="eastAsia"/>
          <w:bCs/>
          <w:color w:val="000000"/>
          <w:sz w:val="24"/>
        </w:rPr>
        <w:t>总体来看，2018年</w:t>
      </w:r>
      <w:r w:rsidRPr="005C0D46">
        <w:rPr>
          <w:rFonts w:ascii="仿宋" w:eastAsia="仿宋" w:hAnsi="仿宋" w:cs="仿宋" w:hint="eastAsia"/>
          <w:bCs/>
          <w:color w:val="000000"/>
          <w:sz w:val="24"/>
        </w:rPr>
        <w:t>债券违约风险大幅抬升，主体数量、以及规模均创历史新高</w:t>
      </w:r>
      <w:r>
        <w:rPr>
          <w:rFonts w:ascii="仿宋" w:eastAsia="仿宋" w:hAnsi="仿宋" w:cs="仿宋" w:hint="eastAsia"/>
          <w:bCs/>
          <w:color w:val="000000"/>
          <w:sz w:val="24"/>
        </w:rPr>
        <w:t>。</w:t>
      </w:r>
      <w:r w:rsidR="00023E64">
        <w:rPr>
          <w:rFonts w:ascii="仿宋" w:eastAsia="仿宋" w:hAnsi="仿宋" w:cs="仿宋" w:hint="eastAsia"/>
          <w:bCs/>
          <w:color w:val="000000"/>
          <w:sz w:val="24"/>
        </w:rPr>
        <w:t>究其原因，</w:t>
      </w:r>
      <w:r w:rsidR="00023E64">
        <w:rPr>
          <w:rFonts w:ascii="仿宋" w:eastAsia="仿宋" w:hAnsi="仿宋" w:cs="仿宋"/>
          <w:bCs/>
          <w:color w:val="000000"/>
          <w:sz w:val="24"/>
        </w:rPr>
        <w:t>主要是宏观经济增速放缓以及信用</w:t>
      </w:r>
      <w:proofErr w:type="gramStart"/>
      <w:r w:rsidR="00023E64">
        <w:rPr>
          <w:rFonts w:ascii="仿宋" w:eastAsia="仿宋" w:hAnsi="仿宋" w:cs="仿宋"/>
          <w:bCs/>
          <w:color w:val="000000"/>
          <w:sz w:val="24"/>
        </w:rPr>
        <w:t>债集中</w:t>
      </w:r>
      <w:proofErr w:type="gramEnd"/>
      <w:r w:rsidR="00023E64">
        <w:rPr>
          <w:rFonts w:ascii="仿宋" w:eastAsia="仿宋" w:hAnsi="仿宋" w:cs="仿宋"/>
          <w:bCs/>
          <w:color w:val="000000"/>
          <w:sz w:val="24"/>
        </w:rPr>
        <w:t>到期压力的增加，</w:t>
      </w:r>
      <w:r w:rsidR="00BF1B48">
        <w:rPr>
          <w:rFonts w:ascii="仿宋" w:eastAsia="仿宋" w:hAnsi="仿宋" w:cs="仿宋"/>
          <w:bCs/>
          <w:color w:val="000000"/>
          <w:sz w:val="24"/>
        </w:rPr>
        <w:t>且企业自身造血能力差，</w:t>
      </w:r>
      <w:r w:rsidR="004B18ED">
        <w:rPr>
          <w:rFonts w:ascii="仿宋" w:eastAsia="仿宋" w:hAnsi="仿宋" w:cs="仿宋"/>
          <w:bCs/>
          <w:color w:val="000000"/>
          <w:sz w:val="24"/>
        </w:rPr>
        <w:t>导致2018年债券市场违约风险明显加快。</w:t>
      </w:r>
      <w:r w:rsidR="003446E3">
        <w:rPr>
          <w:rFonts w:ascii="仿宋" w:eastAsia="仿宋" w:hAnsi="仿宋" w:cs="仿宋"/>
          <w:bCs/>
          <w:color w:val="000000"/>
          <w:sz w:val="24"/>
        </w:rPr>
        <w:t>其次，</w:t>
      </w:r>
      <w:r w:rsidR="00B24C14">
        <w:rPr>
          <w:rFonts w:ascii="仿宋" w:eastAsia="仿宋" w:hAnsi="仿宋" w:cs="仿宋"/>
          <w:bCs/>
          <w:color w:val="000000"/>
          <w:sz w:val="24"/>
        </w:rPr>
        <w:t>2018年</w:t>
      </w:r>
      <w:r w:rsidR="00B24C14" w:rsidRPr="00B24C14">
        <w:rPr>
          <w:rFonts w:ascii="仿宋" w:eastAsia="仿宋" w:hAnsi="仿宋" w:cs="仿宋" w:hint="eastAsia"/>
          <w:bCs/>
          <w:color w:val="000000"/>
          <w:sz w:val="24"/>
        </w:rPr>
        <w:t>上半</w:t>
      </w:r>
      <w:r w:rsidR="00BD1FEE">
        <w:rPr>
          <w:rFonts w:ascii="仿宋" w:eastAsia="仿宋" w:hAnsi="仿宋" w:cs="仿宋" w:hint="eastAsia"/>
          <w:bCs/>
          <w:color w:val="000000"/>
          <w:sz w:val="24"/>
        </w:rPr>
        <w:t>年</w:t>
      </w:r>
      <w:r w:rsidR="00B24C14" w:rsidRPr="00B24C14">
        <w:rPr>
          <w:rFonts w:ascii="仿宋" w:eastAsia="仿宋" w:hAnsi="仿宋" w:cs="仿宋" w:hint="eastAsia"/>
          <w:bCs/>
          <w:color w:val="000000"/>
          <w:sz w:val="24"/>
        </w:rPr>
        <w:t>“防 风险 ”的监管方向使得政策层面加大金融去杠杆力度，市场资环境整体收紧</w:t>
      </w:r>
      <w:r w:rsidR="00BD1FEE">
        <w:rPr>
          <w:rFonts w:ascii="仿宋" w:eastAsia="仿宋" w:hAnsi="仿宋" w:cs="仿宋" w:hint="eastAsia"/>
          <w:bCs/>
          <w:color w:val="000000"/>
          <w:sz w:val="24"/>
        </w:rPr>
        <w:t>，</w:t>
      </w:r>
      <w:r w:rsidR="00B24C14" w:rsidRPr="00B24C14">
        <w:rPr>
          <w:rFonts w:ascii="仿宋" w:eastAsia="仿宋" w:hAnsi="仿宋" w:cs="仿宋" w:hint="eastAsia"/>
          <w:bCs/>
          <w:color w:val="000000"/>
          <w:sz w:val="24"/>
        </w:rPr>
        <w:t>尤其是民营企业外部融资渠道受阻，</w:t>
      </w:r>
      <w:r w:rsidR="00714F1B">
        <w:rPr>
          <w:rFonts w:ascii="仿宋" w:eastAsia="仿宋" w:hAnsi="仿宋" w:cs="仿宋" w:hint="eastAsia"/>
          <w:bCs/>
          <w:color w:val="000000"/>
          <w:sz w:val="24"/>
        </w:rPr>
        <w:t>资</w:t>
      </w:r>
      <w:r w:rsidR="00CA3245">
        <w:rPr>
          <w:rFonts w:ascii="仿宋" w:eastAsia="仿宋" w:hAnsi="仿宋" w:cs="仿宋" w:hint="eastAsia"/>
          <w:bCs/>
          <w:color w:val="000000"/>
          <w:sz w:val="24"/>
        </w:rPr>
        <w:t>金来源渠道明显受阻</w:t>
      </w:r>
      <w:r w:rsidR="00797353">
        <w:rPr>
          <w:rFonts w:ascii="仿宋" w:eastAsia="仿宋" w:hAnsi="仿宋" w:cs="仿宋" w:hint="eastAsia"/>
          <w:bCs/>
          <w:color w:val="000000"/>
          <w:sz w:val="24"/>
        </w:rPr>
        <w:t>，导致</w:t>
      </w:r>
      <w:r w:rsidR="003446E3">
        <w:rPr>
          <w:rFonts w:ascii="仿宋" w:eastAsia="仿宋" w:hAnsi="仿宋" w:cs="仿宋"/>
          <w:bCs/>
          <w:color w:val="000000"/>
          <w:sz w:val="24"/>
        </w:rPr>
        <w:t>企业负面评级调整</w:t>
      </w:r>
      <w:r w:rsidR="00E05A0A">
        <w:rPr>
          <w:rFonts w:ascii="仿宋" w:eastAsia="仿宋" w:hAnsi="仿宋" w:cs="仿宋"/>
          <w:bCs/>
          <w:color w:val="000000"/>
          <w:sz w:val="24"/>
        </w:rPr>
        <w:t>大幅</w:t>
      </w:r>
      <w:r w:rsidR="003446E3">
        <w:rPr>
          <w:rFonts w:ascii="仿宋" w:eastAsia="仿宋" w:hAnsi="仿宋" w:cs="仿宋"/>
          <w:bCs/>
          <w:color w:val="000000"/>
          <w:sz w:val="24"/>
        </w:rPr>
        <w:t>增多，产业类主体评级调</w:t>
      </w:r>
      <w:r w:rsidR="003446E3">
        <w:rPr>
          <w:rFonts w:ascii="仿宋" w:eastAsia="仿宋" w:hAnsi="仿宋" w:cs="仿宋"/>
          <w:bCs/>
          <w:color w:val="000000"/>
          <w:sz w:val="24"/>
        </w:rPr>
        <w:lastRenderedPageBreak/>
        <w:t>整方向多数均有下调。</w:t>
      </w:r>
      <w:r w:rsidR="00FB4F4F">
        <w:rPr>
          <w:rFonts w:ascii="仿宋" w:eastAsia="仿宋" w:hAnsi="仿宋" w:cs="仿宋"/>
          <w:bCs/>
          <w:color w:val="000000"/>
          <w:sz w:val="24"/>
        </w:rPr>
        <w:t>导致到期债务压力明显增加，推升融资风险，在这种情况下，</w:t>
      </w:r>
      <w:r w:rsidR="00FB4F4F" w:rsidRPr="00FB4F4F">
        <w:rPr>
          <w:rFonts w:ascii="仿宋" w:eastAsia="仿宋" w:hAnsi="仿宋" w:cs="仿宋" w:hint="eastAsia"/>
          <w:bCs/>
          <w:color w:val="000000"/>
          <w:sz w:val="24"/>
        </w:rPr>
        <w:t>部分发行人债务无法接续</w:t>
      </w:r>
      <w:r w:rsidR="00531F4C">
        <w:rPr>
          <w:rFonts w:ascii="仿宋" w:eastAsia="仿宋" w:hAnsi="仿宋" w:cs="仿宋" w:hint="eastAsia"/>
          <w:bCs/>
          <w:color w:val="000000"/>
          <w:sz w:val="24"/>
        </w:rPr>
        <w:t>，</w:t>
      </w:r>
      <w:r w:rsidR="00FB4F4F" w:rsidRPr="00FB4F4F">
        <w:rPr>
          <w:rFonts w:ascii="仿宋" w:eastAsia="仿宋" w:hAnsi="仿宋" w:cs="仿宋" w:hint="eastAsia"/>
          <w:bCs/>
          <w:color w:val="000000"/>
          <w:sz w:val="24"/>
        </w:rPr>
        <w:t>导致</w:t>
      </w:r>
      <w:r w:rsidR="00531F4C">
        <w:rPr>
          <w:rFonts w:ascii="仿宋" w:eastAsia="仿宋" w:hAnsi="仿宋" w:cs="仿宋" w:hint="eastAsia"/>
          <w:bCs/>
          <w:color w:val="000000"/>
          <w:sz w:val="24"/>
        </w:rPr>
        <w:t>资</w:t>
      </w:r>
      <w:r w:rsidR="00FB4F4F" w:rsidRPr="00FB4F4F">
        <w:rPr>
          <w:rFonts w:ascii="仿宋" w:eastAsia="仿宋" w:hAnsi="仿宋" w:cs="仿宋" w:hint="eastAsia"/>
          <w:bCs/>
          <w:color w:val="000000"/>
          <w:sz w:val="24"/>
        </w:rPr>
        <w:t>金链断</w:t>
      </w:r>
      <w:r w:rsidR="00531F4C">
        <w:rPr>
          <w:rFonts w:ascii="仿宋" w:eastAsia="仿宋" w:hAnsi="仿宋" w:cs="仿宋" w:hint="eastAsia"/>
          <w:bCs/>
          <w:color w:val="000000"/>
          <w:sz w:val="24"/>
        </w:rPr>
        <w:t>裂</w:t>
      </w:r>
      <w:r w:rsidR="00FB4F4F" w:rsidRPr="00FB4F4F">
        <w:rPr>
          <w:rFonts w:ascii="仿宋" w:eastAsia="仿宋" w:hAnsi="仿宋" w:cs="仿宋" w:hint="eastAsia"/>
          <w:bCs/>
          <w:color w:val="000000"/>
          <w:sz w:val="24"/>
        </w:rPr>
        <w:t>，最终发生违约</w:t>
      </w:r>
      <w:r w:rsidR="00531F4C">
        <w:rPr>
          <w:rFonts w:ascii="仿宋" w:eastAsia="仿宋" w:hAnsi="仿宋" w:cs="仿宋" w:hint="eastAsia"/>
          <w:bCs/>
          <w:color w:val="000000"/>
          <w:sz w:val="24"/>
        </w:rPr>
        <w:t>。</w:t>
      </w:r>
      <w:r w:rsidR="00030BD5">
        <w:rPr>
          <w:rFonts w:ascii="仿宋" w:eastAsia="仿宋" w:hAnsi="仿宋" w:cs="仿宋"/>
          <w:bCs/>
          <w:color w:val="000000"/>
          <w:sz w:val="24"/>
        </w:rPr>
        <w:t>2019年在一系列政策的保障下，</w:t>
      </w:r>
      <w:r w:rsidR="008D7B56">
        <w:rPr>
          <w:rFonts w:ascii="仿宋" w:eastAsia="仿宋" w:hAnsi="仿宋" w:cs="仿宋"/>
          <w:bCs/>
          <w:color w:val="000000"/>
          <w:sz w:val="24"/>
        </w:rPr>
        <w:t>企业</w:t>
      </w:r>
      <w:r w:rsidR="00030BD5">
        <w:rPr>
          <w:rFonts w:ascii="仿宋" w:eastAsia="仿宋" w:hAnsi="仿宋" w:cs="仿宋"/>
          <w:bCs/>
          <w:color w:val="000000"/>
          <w:sz w:val="24"/>
        </w:rPr>
        <w:t>融资需求可能会得以缓解，</w:t>
      </w:r>
      <w:r w:rsidR="008D7B56">
        <w:rPr>
          <w:rFonts w:ascii="仿宋" w:eastAsia="仿宋" w:hAnsi="仿宋" w:cs="仿宋"/>
          <w:bCs/>
          <w:color w:val="000000"/>
          <w:sz w:val="24"/>
        </w:rPr>
        <w:t>盈利或将改善，全年</w:t>
      </w:r>
      <w:r w:rsidR="00030BD5">
        <w:rPr>
          <w:rFonts w:ascii="仿宋" w:eastAsia="仿宋" w:hAnsi="仿宋" w:cs="仿宋"/>
          <w:bCs/>
          <w:color w:val="000000"/>
          <w:sz w:val="24"/>
        </w:rPr>
        <w:t>信用风险整体</w:t>
      </w:r>
      <w:r w:rsidR="00300A34">
        <w:rPr>
          <w:rFonts w:ascii="仿宋" w:eastAsia="仿宋" w:hAnsi="仿宋" w:cs="仿宋"/>
          <w:bCs/>
          <w:color w:val="000000"/>
          <w:sz w:val="24"/>
        </w:rPr>
        <w:t>可控，信用环境有望</w:t>
      </w:r>
      <w:r w:rsidR="00E56673">
        <w:rPr>
          <w:rFonts w:ascii="仿宋" w:eastAsia="仿宋" w:hAnsi="仿宋" w:cs="仿宋"/>
          <w:bCs/>
          <w:color w:val="000000"/>
          <w:sz w:val="24"/>
        </w:rPr>
        <w:t>好转</w:t>
      </w:r>
      <w:r w:rsidR="008D7B56">
        <w:rPr>
          <w:rFonts w:ascii="仿宋" w:eastAsia="仿宋" w:hAnsi="仿宋" w:cs="仿宋"/>
          <w:bCs/>
          <w:color w:val="000000"/>
          <w:sz w:val="24"/>
        </w:rPr>
        <w:t>。</w:t>
      </w:r>
    </w:p>
    <w:p w:rsidR="0033212D" w:rsidRDefault="00420541" w:rsidP="00A679C3">
      <w:pPr>
        <w:spacing w:line="360" w:lineRule="auto"/>
        <w:jc w:val="left"/>
        <w:rPr>
          <w:rFonts w:ascii="仿宋" w:eastAsia="仿宋" w:hAnsi="仿宋" w:cs="仿宋"/>
          <w:b/>
          <w:sz w:val="24"/>
        </w:rPr>
      </w:pPr>
      <w:r>
        <w:rPr>
          <w:rFonts w:ascii="仿宋" w:eastAsia="仿宋" w:hAnsi="仿宋" w:cs="仿宋" w:hint="eastAsia"/>
          <w:b/>
          <w:sz w:val="24"/>
        </w:rPr>
        <w:t>2、违约</w:t>
      </w:r>
      <w:r>
        <w:rPr>
          <w:rFonts w:ascii="仿宋" w:eastAsia="仿宋" w:hAnsi="仿宋" w:cs="仿宋" w:hint="eastAsia"/>
          <w:bCs/>
          <w:color w:val="0000FF"/>
          <w:sz w:val="24"/>
        </w:rPr>
        <w:t>行业</w:t>
      </w:r>
      <w:r>
        <w:rPr>
          <w:rFonts w:ascii="仿宋" w:eastAsia="仿宋" w:hAnsi="仿宋" w:cs="仿宋" w:hint="eastAsia"/>
          <w:b/>
          <w:sz w:val="24"/>
        </w:rPr>
        <w:t xml:space="preserve">覆盖面更加广泛 </w:t>
      </w:r>
    </w:p>
    <w:p w:rsidR="00A679C3" w:rsidRDefault="00A679C3" w:rsidP="00A679C3">
      <w:pPr>
        <w:spacing w:line="360" w:lineRule="auto"/>
        <w:jc w:val="left"/>
        <w:rPr>
          <w:rFonts w:ascii="仿宋" w:eastAsia="仿宋" w:hAnsi="仿宋" w:cs="仿宋"/>
          <w:bCs/>
          <w:color w:val="000000"/>
          <w:sz w:val="24"/>
        </w:rPr>
      </w:pPr>
      <w:r>
        <w:rPr>
          <w:rFonts w:ascii="仿宋" w:eastAsia="仿宋" w:hAnsi="仿宋" w:cs="仿宋" w:hint="eastAsia"/>
          <w:bCs/>
          <w:color w:val="000000"/>
          <w:sz w:val="24"/>
        </w:rPr>
        <w:t>2</w:t>
      </w:r>
      <w:r>
        <w:rPr>
          <w:rFonts w:ascii="仿宋" w:eastAsia="仿宋" w:hAnsi="仿宋" w:cs="仿宋"/>
          <w:bCs/>
          <w:color w:val="000000"/>
          <w:sz w:val="24"/>
        </w:rPr>
        <w:t>018</w:t>
      </w:r>
      <w:r w:rsidR="00475461">
        <w:rPr>
          <w:rFonts w:ascii="仿宋" w:eastAsia="仿宋" w:hAnsi="仿宋" w:cs="仿宋"/>
          <w:bCs/>
          <w:color w:val="000000"/>
          <w:sz w:val="24"/>
        </w:rPr>
        <w:t>年</w:t>
      </w:r>
      <w:r>
        <w:rPr>
          <w:rFonts w:ascii="仿宋" w:eastAsia="仿宋" w:hAnsi="仿宋" w:cs="仿宋"/>
          <w:bCs/>
          <w:color w:val="000000"/>
          <w:sz w:val="24"/>
        </w:rPr>
        <w:t xml:space="preserve"> </w:t>
      </w:r>
      <w:r w:rsidR="00475461">
        <w:rPr>
          <w:rFonts w:ascii="仿宋" w:eastAsia="仿宋" w:hAnsi="仿宋" w:cs="仿宋"/>
          <w:bCs/>
          <w:color w:val="000000"/>
          <w:sz w:val="24"/>
        </w:rPr>
        <w:t>新增违约主题行业分布未表现出某些特定行业的特点，而是更加分散化，</w:t>
      </w:r>
      <w:r w:rsidR="00A74A10">
        <w:rPr>
          <w:rFonts w:ascii="仿宋" w:eastAsia="仿宋" w:hAnsi="仿宋" w:cs="仿宋"/>
          <w:bCs/>
          <w:color w:val="000000"/>
          <w:sz w:val="24"/>
        </w:rPr>
        <w:t>共涉及27个细分行业，产业类行业中，信息技术、铝精深加工、机场、传媒、饰品生产、黄金珠宝、房地产、食品饮料以及电子产品为2018年首次出现的违约债券行业。</w:t>
      </w:r>
      <w:r w:rsidR="00361FE0">
        <w:rPr>
          <w:rFonts w:ascii="仿宋" w:eastAsia="仿宋" w:hAnsi="仿宋" w:cs="仿宋"/>
          <w:bCs/>
          <w:color w:val="000000"/>
          <w:sz w:val="24"/>
        </w:rPr>
        <w:t>此外还有</w:t>
      </w:r>
      <w:proofErr w:type="gramStart"/>
      <w:r w:rsidR="00361FE0">
        <w:rPr>
          <w:rFonts w:ascii="仿宋" w:eastAsia="仿宋" w:hAnsi="仿宋" w:cs="仿宋"/>
          <w:bCs/>
          <w:color w:val="000000"/>
          <w:sz w:val="24"/>
        </w:rPr>
        <w:t>城投类企业</w:t>
      </w:r>
      <w:proofErr w:type="gramEnd"/>
      <w:r w:rsidR="00361FE0">
        <w:rPr>
          <w:rFonts w:ascii="仿宋" w:eastAsia="仿宋" w:hAnsi="仿宋" w:cs="仿宋"/>
          <w:bCs/>
          <w:color w:val="000000"/>
          <w:sz w:val="24"/>
        </w:rPr>
        <w:t>公开债券违约风险也比较突出。</w:t>
      </w:r>
      <w:r w:rsidR="00E51F86">
        <w:rPr>
          <w:rFonts w:ascii="仿宋" w:eastAsia="仿宋" w:hAnsi="仿宋" w:cs="仿宋"/>
          <w:bCs/>
          <w:color w:val="000000"/>
          <w:sz w:val="24"/>
        </w:rPr>
        <w:t>如下图：</w:t>
      </w:r>
    </w:p>
    <w:p w:rsidR="00E51F86" w:rsidRDefault="00E51F86" w:rsidP="00E51F86">
      <w:pPr>
        <w:spacing w:line="360" w:lineRule="auto"/>
        <w:jc w:val="center"/>
        <w:rPr>
          <w:rFonts w:ascii="仿宋" w:eastAsia="仿宋" w:hAnsi="仿宋" w:cs="仿宋"/>
          <w:bCs/>
          <w:color w:val="000000"/>
          <w:sz w:val="24"/>
        </w:rPr>
      </w:pPr>
      <w:r>
        <w:rPr>
          <w:rFonts w:ascii="仿宋" w:eastAsia="仿宋" w:hAnsi="仿宋" w:cs="仿宋" w:hint="eastAsia"/>
          <w:bCs/>
          <w:color w:val="000000"/>
          <w:sz w:val="24"/>
        </w:rPr>
        <w:t>2018年违约主体行业分布</w:t>
      </w:r>
    </w:p>
    <w:p w:rsidR="00A679C3" w:rsidRDefault="00A679C3">
      <w:pPr>
        <w:spacing w:line="360" w:lineRule="auto"/>
        <w:ind w:firstLineChars="200" w:firstLine="420"/>
        <w:jc w:val="left"/>
        <w:rPr>
          <w:rFonts w:ascii="仿宋" w:eastAsia="仿宋" w:hAnsi="仿宋" w:cs="仿宋"/>
          <w:bCs/>
          <w:color w:val="000000"/>
          <w:sz w:val="24"/>
        </w:rPr>
      </w:pPr>
      <w:r>
        <w:rPr>
          <w:noProof/>
        </w:rPr>
        <w:drawing>
          <wp:inline distT="0" distB="0" distL="0" distR="0" wp14:anchorId="1BF95FD1" wp14:editId="3C9376F6">
            <wp:extent cx="4950460" cy="309816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0460" cy="3098165"/>
                    </a:xfrm>
                    <a:prstGeom prst="rect">
                      <a:avLst/>
                    </a:prstGeom>
                  </pic:spPr>
                </pic:pic>
              </a:graphicData>
            </a:graphic>
          </wp:inline>
        </w:drawing>
      </w:r>
    </w:p>
    <w:p w:rsidR="00DC08DF" w:rsidRDefault="00810EE1">
      <w:pPr>
        <w:spacing w:line="360" w:lineRule="auto"/>
        <w:ind w:firstLineChars="200" w:firstLine="480"/>
        <w:jc w:val="left"/>
        <w:rPr>
          <w:rFonts w:ascii="仿宋" w:eastAsia="仿宋" w:hAnsi="仿宋" w:cs="仿宋"/>
          <w:bCs/>
          <w:color w:val="000000"/>
          <w:sz w:val="24"/>
        </w:rPr>
      </w:pPr>
      <w:r>
        <w:rPr>
          <w:rFonts w:ascii="仿宋" w:eastAsia="仿宋" w:hAnsi="仿宋" w:cs="仿宋"/>
          <w:bCs/>
          <w:color w:val="000000"/>
          <w:sz w:val="24"/>
        </w:rPr>
        <w:t>新增主体违约行业的多样化，也衍生了违约原因的多样化，从以前比较简单的资产错配发展到多方面违约原因，主要有以下几个方面：</w:t>
      </w:r>
    </w:p>
    <w:p w:rsidR="00BC7769" w:rsidRDefault="001447F3">
      <w:pPr>
        <w:spacing w:line="360" w:lineRule="auto"/>
        <w:ind w:firstLineChars="200" w:firstLine="480"/>
        <w:jc w:val="left"/>
        <w:rPr>
          <w:rFonts w:ascii="仿宋" w:eastAsia="仿宋" w:hAnsi="仿宋" w:cs="仿宋"/>
          <w:bCs/>
          <w:color w:val="000000"/>
          <w:sz w:val="24"/>
        </w:rPr>
      </w:pPr>
      <w:r w:rsidRPr="001447F3">
        <w:rPr>
          <w:rFonts w:ascii="仿宋" w:eastAsia="仿宋" w:hAnsi="仿宋" w:cs="仿宋" w:hint="eastAsia"/>
          <w:bCs/>
          <w:color w:val="000000"/>
          <w:sz w:val="24"/>
        </w:rPr>
        <w:t>一是公司业务扩张导致资金需求持续过大，来源主要依赖于债务融资，并在违约发生前面临股价下跌或东质押率较高、实际控制人负面事件或管理层变动等风险，导致外部融资环境迅速恶化而引发金链断裂。</w:t>
      </w:r>
      <w:r w:rsidR="00A71CC7">
        <w:rPr>
          <w:rFonts w:ascii="仿宋" w:eastAsia="仿宋" w:hAnsi="仿宋" w:cs="仿宋" w:hint="eastAsia"/>
          <w:bCs/>
          <w:color w:val="000000"/>
          <w:sz w:val="24"/>
        </w:rPr>
        <w:t>2018年多数均不同程度的受到</w:t>
      </w:r>
      <w:proofErr w:type="gramStart"/>
      <w:r w:rsidR="00A71CC7">
        <w:rPr>
          <w:rFonts w:ascii="仿宋" w:eastAsia="仿宋" w:hAnsi="仿宋" w:cs="仿宋" w:hint="eastAsia"/>
          <w:bCs/>
          <w:color w:val="000000"/>
          <w:sz w:val="24"/>
        </w:rPr>
        <w:t>该原因</w:t>
      </w:r>
      <w:proofErr w:type="gramEnd"/>
      <w:r w:rsidR="00A71CC7">
        <w:rPr>
          <w:rFonts w:ascii="仿宋" w:eastAsia="仿宋" w:hAnsi="仿宋" w:cs="仿宋" w:hint="eastAsia"/>
          <w:bCs/>
          <w:color w:val="000000"/>
          <w:sz w:val="24"/>
        </w:rPr>
        <w:t>的影响，如：</w:t>
      </w:r>
      <w:proofErr w:type="gramStart"/>
      <w:r w:rsidR="00A71CC7">
        <w:rPr>
          <w:rFonts w:ascii="仿宋" w:eastAsia="仿宋" w:hAnsi="仿宋" w:cs="仿宋" w:hint="eastAsia"/>
          <w:bCs/>
          <w:color w:val="000000"/>
          <w:sz w:val="24"/>
        </w:rPr>
        <w:t>凯迪</w:t>
      </w:r>
      <w:proofErr w:type="gramEnd"/>
      <w:r w:rsidR="00A71CC7">
        <w:rPr>
          <w:rFonts w:ascii="仿宋" w:eastAsia="仿宋" w:hAnsi="仿宋" w:cs="仿宋" w:hint="eastAsia"/>
          <w:bCs/>
          <w:color w:val="000000"/>
          <w:sz w:val="24"/>
        </w:rPr>
        <w:t>生态、上海华信、宁夏上陵等等。</w:t>
      </w:r>
    </w:p>
    <w:p w:rsidR="00125E85" w:rsidRDefault="00125E85">
      <w:pPr>
        <w:spacing w:line="360" w:lineRule="auto"/>
        <w:ind w:firstLineChars="200" w:firstLine="480"/>
        <w:jc w:val="left"/>
        <w:rPr>
          <w:rFonts w:ascii="仿宋" w:eastAsia="仿宋" w:hAnsi="仿宋" w:cs="仿宋"/>
          <w:bCs/>
          <w:color w:val="000000"/>
          <w:sz w:val="24"/>
        </w:rPr>
      </w:pPr>
      <w:r>
        <w:rPr>
          <w:rFonts w:ascii="仿宋" w:eastAsia="仿宋" w:hAnsi="仿宋" w:cs="仿宋"/>
          <w:bCs/>
          <w:color w:val="000000"/>
          <w:sz w:val="24"/>
        </w:rPr>
        <w:t>二是行业因素导致发行人经营能力恶化，</w:t>
      </w:r>
      <w:r w:rsidR="00FE4432">
        <w:rPr>
          <w:rFonts w:ascii="仿宋" w:eastAsia="仿宋" w:hAnsi="仿宋" w:cs="仿宋"/>
          <w:bCs/>
          <w:color w:val="000000"/>
          <w:sz w:val="24"/>
        </w:rPr>
        <w:t>导致企业现金流</w:t>
      </w:r>
      <w:r w:rsidR="003816AD">
        <w:rPr>
          <w:rFonts w:ascii="仿宋" w:eastAsia="仿宋" w:hAnsi="仿宋" w:cs="仿宋"/>
          <w:bCs/>
          <w:color w:val="000000"/>
          <w:sz w:val="24"/>
        </w:rPr>
        <w:t>紧张</w:t>
      </w:r>
      <w:r w:rsidR="00FE4432">
        <w:rPr>
          <w:rFonts w:ascii="仿宋" w:eastAsia="仿宋" w:hAnsi="仿宋" w:cs="仿宋"/>
          <w:bCs/>
          <w:color w:val="000000"/>
          <w:sz w:val="24"/>
        </w:rPr>
        <w:t>，</w:t>
      </w:r>
      <w:r w:rsidR="006F0AF0">
        <w:rPr>
          <w:rFonts w:ascii="仿宋" w:eastAsia="仿宋" w:hAnsi="仿宋" w:cs="仿宋"/>
          <w:bCs/>
          <w:color w:val="000000"/>
          <w:sz w:val="24"/>
        </w:rPr>
        <w:t>或行</w:t>
      </w:r>
      <w:r w:rsidR="006F0AF0">
        <w:rPr>
          <w:rFonts w:ascii="仿宋" w:eastAsia="仿宋" w:hAnsi="仿宋" w:cs="仿宋"/>
          <w:bCs/>
          <w:color w:val="000000"/>
          <w:sz w:val="24"/>
        </w:rPr>
        <w:lastRenderedPageBreak/>
        <w:t>业内竞争压力较大，行业不景气</w:t>
      </w:r>
      <w:r w:rsidR="00864A56">
        <w:rPr>
          <w:rFonts w:ascii="仿宋" w:eastAsia="仿宋" w:hAnsi="仿宋" w:cs="仿宋"/>
          <w:bCs/>
          <w:color w:val="000000"/>
          <w:sz w:val="24"/>
        </w:rPr>
        <w:t>，</w:t>
      </w:r>
      <w:r w:rsidR="00BB0A51">
        <w:rPr>
          <w:rFonts w:ascii="仿宋" w:eastAsia="仿宋" w:hAnsi="仿宋" w:cs="仿宋"/>
          <w:bCs/>
          <w:color w:val="000000"/>
          <w:sz w:val="24"/>
        </w:rPr>
        <w:t>经营业绩下滑严重，</w:t>
      </w:r>
      <w:r w:rsidR="006F0AF0">
        <w:rPr>
          <w:rFonts w:ascii="仿宋" w:eastAsia="仿宋" w:hAnsi="仿宋" w:cs="仿宋"/>
          <w:bCs/>
          <w:color w:val="000000"/>
          <w:sz w:val="24"/>
        </w:rPr>
        <w:t>导致</w:t>
      </w:r>
      <w:r>
        <w:rPr>
          <w:rFonts w:ascii="仿宋" w:eastAsia="仿宋" w:hAnsi="仿宋" w:cs="仿宋"/>
          <w:bCs/>
          <w:color w:val="000000"/>
          <w:sz w:val="24"/>
        </w:rPr>
        <w:t>盈利能力下降，从而导致内部现金流恶化。</w:t>
      </w:r>
      <w:r w:rsidR="00AA1FD3">
        <w:rPr>
          <w:rFonts w:ascii="仿宋" w:eastAsia="仿宋" w:hAnsi="仿宋" w:cs="仿宋"/>
          <w:bCs/>
          <w:color w:val="000000"/>
          <w:sz w:val="24"/>
        </w:rPr>
        <w:t>受该因素影响的企业如：神雾环保、富贵鸟、金特钢铁等等。</w:t>
      </w:r>
    </w:p>
    <w:p w:rsidR="00660366" w:rsidRDefault="00660366">
      <w:pPr>
        <w:spacing w:line="360" w:lineRule="auto"/>
        <w:ind w:firstLineChars="200" w:firstLine="480"/>
        <w:jc w:val="left"/>
        <w:rPr>
          <w:rFonts w:ascii="仿宋" w:eastAsia="仿宋" w:hAnsi="仿宋" w:cs="仿宋"/>
          <w:bCs/>
          <w:color w:val="000000"/>
          <w:sz w:val="24"/>
        </w:rPr>
      </w:pPr>
      <w:r w:rsidRPr="00660366">
        <w:rPr>
          <w:rFonts w:ascii="仿宋" w:eastAsia="仿宋" w:hAnsi="仿宋" w:cs="仿宋" w:hint="eastAsia"/>
          <w:bCs/>
          <w:color w:val="000000"/>
          <w:sz w:val="24"/>
        </w:rPr>
        <w:t>三是经营亏损严重，短期债务压力巨大，应收款占用过多资金，加剧现金流紧张。</w:t>
      </w:r>
      <w:r w:rsidR="00794536">
        <w:rPr>
          <w:rFonts w:ascii="仿宋" w:eastAsia="仿宋" w:hAnsi="仿宋" w:cs="仿宋" w:hint="eastAsia"/>
          <w:bCs/>
          <w:color w:val="000000"/>
          <w:sz w:val="24"/>
        </w:rPr>
        <w:t>比如</w:t>
      </w:r>
      <w:r w:rsidR="00794536" w:rsidRPr="00794536">
        <w:rPr>
          <w:rFonts w:ascii="仿宋" w:eastAsia="仿宋" w:hAnsi="仿宋" w:cs="仿宋" w:hint="eastAsia"/>
          <w:bCs/>
          <w:color w:val="000000"/>
          <w:sz w:val="24"/>
        </w:rPr>
        <w:t>金玛集团的违约在一定程度上受到该因素的影响</w:t>
      </w:r>
      <w:r w:rsidR="003C33FD">
        <w:rPr>
          <w:rFonts w:ascii="仿宋" w:eastAsia="仿宋" w:hAnsi="仿宋" w:cs="仿宋" w:hint="eastAsia"/>
          <w:bCs/>
          <w:color w:val="000000"/>
          <w:sz w:val="24"/>
        </w:rPr>
        <w:t>。</w:t>
      </w:r>
    </w:p>
    <w:p w:rsidR="003C33FD" w:rsidRDefault="003C33FD">
      <w:pPr>
        <w:spacing w:line="360" w:lineRule="auto"/>
        <w:ind w:firstLineChars="200" w:firstLine="480"/>
        <w:jc w:val="left"/>
        <w:rPr>
          <w:rFonts w:ascii="仿宋" w:eastAsia="仿宋" w:hAnsi="仿宋" w:cs="仿宋"/>
          <w:bCs/>
          <w:color w:val="000000"/>
          <w:sz w:val="24"/>
        </w:rPr>
      </w:pPr>
      <w:r w:rsidRPr="003C33FD">
        <w:rPr>
          <w:rFonts w:ascii="仿宋" w:eastAsia="仿宋" w:hAnsi="仿宋" w:cs="仿宋" w:hint="eastAsia"/>
          <w:bCs/>
          <w:color w:val="000000"/>
          <w:sz w:val="24"/>
        </w:rPr>
        <w:t>四是触发投 资者保护条款、破产重整导致债券加速到期发生违约或技术性原因导致违约。</w:t>
      </w:r>
      <w:r w:rsidR="00C72EA9">
        <w:rPr>
          <w:rFonts w:ascii="仿宋" w:eastAsia="仿宋" w:hAnsi="仿宋" w:cs="仿宋" w:hint="eastAsia"/>
          <w:bCs/>
          <w:color w:val="000000"/>
          <w:sz w:val="24"/>
        </w:rPr>
        <w:t>2018年有26只债券触发交叉违约条款或事先约束条款，未能实现即时兑付而发生违约。</w:t>
      </w:r>
      <w:r w:rsidR="00A44D25">
        <w:rPr>
          <w:rFonts w:ascii="仿宋" w:eastAsia="仿宋" w:hAnsi="仿宋" w:cs="仿宋" w:hint="eastAsia"/>
          <w:bCs/>
          <w:color w:val="000000"/>
          <w:sz w:val="24"/>
        </w:rPr>
        <w:t>如：三鼎集团、美兰机场、金茂纺织</w:t>
      </w:r>
      <w:r w:rsidR="00BE0D68">
        <w:rPr>
          <w:rFonts w:ascii="仿宋" w:eastAsia="仿宋" w:hAnsi="仿宋" w:cs="仿宋" w:hint="eastAsia"/>
          <w:bCs/>
          <w:color w:val="000000"/>
          <w:sz w:val="24"/>
        </w:rPr>
        <w:t>，均因触发</w:t>
      </w:r>
      <w:r w:rsidR="0014503B">
        <w:rPr>
          <w:rFonts w:ascii="仿宋" w:eastAsia="仿宋" w:hAnsi="仿宋" w:cs="仿宋" w:hint="eastAsia"/>
          <w:bCs/>
          <w:color w:val="000000"/>
          <w:sz w:val="24"/>
        </w:rPr>
        <w:t>违约</w:t>
      </w:r>
      <w:r w:rsidR="00BE0D68">
        <w:rPr>
          <w:rFonts w:ascii="仿宋" w:eastAsia="仿宋" w:hAnsi="仿宋" w:cs="仿宋" w:hint="eastAsia"/>
          <w:bCs/>
          <w:color w:val="000000"/>
          <w:sz w:val="24"/>
        </w:rPr>
        <w:t>条款而违约。</w:t>
      </w:r>
    </w:p>
    <w:p w:rsidR="0084377E" w:rsidRPr="00125E85" w:rsidRDefault="0084377E">
      <w:pPr>
        <w:spacing w:line="360" w:lineRule="auto"/>
        <w:ind w:firstLineChars="200" w:firstLine="420"/>
        <w:jc w:val="left"/>
        <w:rPr>
          <w:rFonts w:ascii="仿宋" w:eastAsia="仿宋" w:hAnsi="仿宋" w:cs="仿宋"/>
          <w:bCs/>
          <w:color w:val="000000"/>
          <w:sz w:val="24"/>
        </w:rPr>
      </w:pPr>
      <w:r>
        <w:rPr>
          <w:noProof/>
        </w:rPr>
        <w:drawing>
          <wp:inline distT="0" distB="0" distL="0" distR="0" wp14:anchorId="40912DE5" wp14:editId="7051C6DC">
            <wp:extent cx="4561905" cy="42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1905" cy="4200000"/>
                    </a:xfrm>
                    <a:prstGeom prst="rect">
                      <a:avLst/>
                    </a:prstGeom>
                  </pic:spPr>
                </pic:pic>
              </a:graphicData>
            </a:graphic>
          </wp:inline>
        </w:drawing>
      </w:r>
    </w:p>
    <w:p w:rsidR="0033212D" w:rsidRDefault="002C16CA">
      <w:pPr>
        <w:spacing w:line="360" w:lineRule="auto"/>
        <w:ind w:firstLineChars="200" w:firstLine="480"/>
        <w:jc w:val="left"/>
        <w:rPr>
          <w:rFonts w:ascii="仿宋" w:eastAsia="仿宋" w:hAnsi="仿宋" w:cs="仿宋"/>
          <w:bCs/>
          <w:color w:val="000000"/>
          <w:sz w:val="24"/>
        </w:rPr>
      </w:pPr>
      <w:r>
        <w:rPr>
          <w:rFonts w:ascii="仿宋" w:eastAsia="仿宋" w:hAnsi="仿宋" w:cs="仿宋"/>
          <w:bCs/>
          <w:color w:val="000000"/>
          <w:sz w:val="24"/>
        </w:rPr>
        <w:t>比较欣慰的是，钢铁</w:t>
      </w:r>
      <w:r w:rsidR="004612C6">
        <w:rPr>
          <w:rFonts w:ascii="仿宋" w:eastAsia="仿宋" w:hAnsi="仿宋" w:cs="仿宋"/>
          <w:bCs/>
          <w:color w:val="000000"/>
          <w:sz w:val="24"/>
        </w:rPr>
        <w:t>、装备、电力</w:t>
      </w:r>
      <w:r w:rsidR="009B30A3">
        <w:rPr>
          <w:rFonts w:ascii="仿宋" w:eastAsia="仿宋" w:hAnsi="仿宋" w:cs="仿宋"/>
          <w:bCs/>
          <w:color w:val="000000"/>
          <w:sz w:val="24"/>
        </w:rPr>
        <w:t>以及</w:t>
      </w:r>
      <w:r>
        <w:rPr>
          <w:rFonts w:ascii="仿宋" w:eastAsia="仿宋" w:hAnsi="仿宋" w:cs="仿宋"/>
          <w:bCs/>
          <w:color w:val="000000"/>
          <w:sz w:val="24"/>
        </w:rPr>
        <w:t>传统能源类行业盈利能力及现金流均有所改善，短期债务压力明显</w:t>
      </w:r>
      <w:r w:rsidR="00B13214">
        <w:rPr>
          <w:rFonts w:ascii="仿宋" w:eastAsia="仿宋" w:hAnsi="仿宋" w:cs="仿宋"/>
          <w:bCs/>
          <w:color w:val="000000"/>
          <w:sz w:val="24"/>
        </w:rPr>
        <w:t>下降。</w:t>
      </w:r>
    </w:p>
    <w:p w:rsidR="0033212D" w:rsidRDefault="00420541">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3、违约主体涉及</w:t>
      </w:r>
      <w:r>
        <w:rPr>
          <w:rFonts w:ascii="仿宋" w:eastAsia="仿宋" w:hAnsi="仿宋" w:cs="仿宋" w:hint="eastAsia"/>
          <w:b/>
          <w:color w:val="0000FF"/>
          <w:sz w:val="24"/>
        </w:rPr>
        <w:t>地区</w:t>
      </w:r>
      <w:r>
        <w:rPr>
          <w:rFonts w:ascii="仿宋" w:eastAsia="仿宋" w:hAnsi="仿宋" w:cs="仿宋" w:hint="eastAsia"/>
          <w:b/>
          <w:color w:val="000000"/>
          <w:sz w:val="24"/>
        </w:rPr>
        <w:t xml:space="preserve">继续增加 </w:t>
      </w:r>
    </w:p>
    <w:p w:rsidR="003649A9"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bCs/>
          <w:color w:val="000000"/>
          <w:sz w:val="24"/>
        </w:rPr>
        <w:t>从</w:t>
      </w:r>
      <w:r w:rsidR="000B6602">
        <w:rPr>
          <w:rFonts w:ascii="仿宋" w:eastAsia="仿宋" w:hAnsi="仿宋" w:cs="仿宋"/>
          <w:bCs/>
          <w:color w:val="000000"/>
          <w:sz w:val="24"/>
        </w:rPr>
        <w:t>违约</w:t>
      </w:r>
      <w:r>
        <w:rPr>
          <w:rFonts w:ascii="仿宋" w:eastAsia="仿宋" w:hAnsi="仿宋" w:cs="仿宋"/>
          <w:bCs/>
          <w:color w:val="000000"/>
          <w:sz w:val="24"/>
        </w:rPr>
        <w:t>地区</w:t>
      </w:r>
      <w:r w:rsidR="000B6602">
        <w:rPr>
          <w:rFonts w:ascii="仿宋" w:eastAsia="仿宋" w:hAnsi="仿宋" w:cs="仿宋"/>
          <w:bCs/>
          <w:color w:val="000000"/>
          <w:sz w:val="24"/>
        </w:rPr>
        <w:t>分布</w:t>
      </w:r>
      <w:r>
        <w:rPr>
          <w:rFonts w:ascii="仿宋" w:eastAsia="仿宋" w:hAnsi="仿宋" w:cs="仿宋"/>
          <w:bCs/>
          <w:color w:val="000000"/>
          <w:sz w:val="24"/>
        </w:rPr>
        <w:t>来看，</w:t>
      </w:r>
      <w:r w:rsidR="00CF783C">
        <w:rPr>
          <w:rFonts w:ascii="仿宋" w:eastAsia="仿宋" w:hAnsi="仿宋" w:cs="仿宋" w:hint="eastAsia"/>
          <w:bCs/>
          <w:color w:val="000000"/>
          <w:sz w:val="24"/>
        </w:rPr>
        <w:t xml:space="preserve"> </w:t>
      </w:r>
      <w:r w:rsidR="00457E78">
        <w:rPr>
          <w:rFonts w:ascii="仿宋" w:eastAsia="仿宋" w:hAnsi="仿宋" w:cs="仿宋" w:hint="eastAsia"/>
          <w:bCs/>
          <w:color w:val="000000"/>
          <w:sz w:val="24"/>
        </w:rPr>
        <w:t>2018年截止，违约主体涉及了几乎全国所有省份。</w:t>
      </w:r>
      <w:r w:rsidR="00CF783C">
        <w:rPr>
          <w:rFonts w:ascii="仿宋" w:eastAsia="仿宋" w:hAnsi="仿宋" w:cs="仿宋"/>
          <w:bCs/>
          <w:color w:val="000000"/>
          <w:sz w:val="24"/>
        </w:rPr>
        <w:t>上海和北京集中了将近34%的违约金额，</w:t>
      </w:r>
      <w:r w:rsidR="00CF783C" w:rsidRPr="00300863">
        <w:rPr>
          <w:rFonts w:ascii="仿宋" w:eastAsia="仿宋" w:hAnsi="仿宋" w:cs="仿宋" w:hint="eastAsia"/>
          <w:bCs/>
          <w:color w:val="000000"/>
          <w:sz w:val="24"/>
        </w:rPr>
        <w:t>辽宁、山西、浙江分列前5名。</w:t>
      </w:r>
    </w:p>
    <w:p w:rsidR="003649A9" w:rsidRDefault="003649A9">
      <w:pPr>
        <w:spacing w:line="360" w:lineRule="auto"/>
        <w:ind w:firstLineChars="200" w:firstLine="420"/>
        <w:jc w:val="left"/>
        <w:rPr>
          <w:rFonts w:ascii="仿宋" w:eastAsia="仿宋" w:hAnsi="仿宋" w:cs="仿宋"/>
          <w:bCs/>
          <w:color w:val="000000"/>
          <w:sz w:val="24"/>
        </w:rPr>
      </w:pPr>
      <w:r>
        <w:rPr>
          <w:noProof/>
        </w:rPr>
        <w:lastRenderedPageBreak/>
        <w:drawing>
          <wp:inline distT="0" distB="0" distL="0" distR="0" wp14:anchorId="693E9E9B" wp14:editId="7DB8AFAB">
            <wp:extent cx="4950460" cy="3915410"/>
            <wp:effectExtent l="0" t="0" r="254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0460" cy="3915410"/>
                    </a:xfrm>
                    <a:prstGeom prst="rect">
                      <a:avLst/>
                    </a:prstGeom>
                  </pic:spPr>
                </pic:pic>
              </a:graphicData>
            </a:graphic>
          </wp:inline>
        </w:drawing>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bCs/>
          <w:color w:val="000000"/>
          <w:sz w:val="24"/>
        </w:rPr>
        <w:t>发行人更多位于产能过剩行业集中区域、东南沿海、经济较发达等地。主要是因为产能过剩行业是违约的集中高发领域；</w:t>
      </w:r>
      <w:r w:rsidR="00CB66E1">
        <w:rPr>
          <w:rFonts w:ascii="仿宋" w:eastAsia="仿宋" w:hAnsi="仿宋" w:cs="仿宋"/>
          <w:bCs/>
          <w:color w:val="000000"/>
          <w:sz w:val="24"/>
        </w:rPr>
        <w:t>福建、浙江等地</w:t>
      </w:r>
      <w:r>
        <w:rPr>
          <w:rFonts w:ascii="仿宋" w:eastAsia="仿宋" w:hAnsi="仿宋" w:cs="仿宋"/>
          <w:bCs/>
          <w:color w:val="000000"/>
          <w:sz w:val="24"/>
        </w:rPr>
        <w:t>东南沿海地区民营经济发达、发债企业较多，当地的中小企业在经济增速放缓影响下信用风险有所加大。</w:t>
      </w:r>
    </w:p>
    <w:p w:rsidR="0033212D" w:rsidRDefault="00420541">
      <w:pPr>
        <w:spacing w:line="360" w:lineRule="auto"/>
        <w:ind w:firstLineChars="200" w:firstLine="482"/>
        <w:jc w:val="left"/>
        <w:rPr>
          <w:rFonts w:ascii="仿宋" w:eastAsia="仿宋" w:hAnsi="仿宋" w:cs="仿宋"/>
          <w:bCs/>
          <w:color w:val="0000FF"/>
          <w:sz w:val="24"/>
        </w:rPr>
      </w:pPr>
      <w:r>
        <w:rPr>
          <w:rFonts w:ascii="仿宋" w:eastAsia="仿宋" w:hAnsi="仿宋" w:cs="仿宋" w:hint="eastAsia"/>
          <w:b/>
          <w:color w:val="000000"/>
          <w:sz w:val="24"/>
        </w:rPr>
        <w:t>4、违约债券</w:t>
      </w:r>
      <w:r>
        <w:rPr>
          <w:rFonts w:ascii="仿宋" w:eastAsia="仿宋" w:hAnsi="仿宋" w:cs="仿宋" w:hint="eastAsia"/>
          <w:b/>
          <w:color w:val="0000FF"/>
          <w:sz w:val="24"/>
        </w:rPr>
        <w:t>期限结构短期化</w:t>
      </w:r>
      <w:r>
        <w:rPr>
          <w:rFonts w:ascii="仿宋" w:eastAsia="仿宋" w:hAnsi="仿宋" w:cs="仿宋" w:hint="eastAsia"/>
          <w:bCs/>
          <w:color w:val="0000FF"/>
          <w:sz w:val="24"/>
        </w:rPr>
        <w:t xml:space="preserve"> </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bCs/>
          <w:color w:val="000000"/>
          <w:sz w:val="24"/>
        </w:rPr>
        <w:t>近年来随着短期债券发行规模的扩大，市场流动性风险不断积累。债务期限的缩短使得企业还本付息的频次也有所加快，这就需要企业通过改善经营、加强资金周转以及资金管理来予以配合，提高自身偿债能力。然而从目前情况来看，由于很多企业特别是一些负债率较高的企业为缓解偿债压力而发行短期债券，同时通常这类企业很难在短时间内有效改善经营、提高资金周转能力，而债务期限的短期化又导致发行债券到还本付息的周期缩短，企业兑付风险进一步积累，“发短用长”，导致期限错配，流动性愈加脆弱，</w:t>
      </w:r>
      <w:r>
        <w:rPr>
          <w:rFonts w:ascii="仿宋" w:eastAsia="仿宋" w:hAnsi="仿宋" w:cs="仿宋" w:hint="eastAsia"/>
          <w:bCs/>
          <w:color w:val="000000"/>
          <w:sz w:val="24"/>
        </w:rPr>
        <w:t>一旦资金链条中某一环节出现问题，就容易导致违约事件的发生。</w:t>
      </w:r>
    </w:p>
    <w:p w:rsidR="0033212D" w:rsidRDefault="00420541">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 xml:space="preserve">5、部分违约主体具有高商誉或股票质押比例高的特征 </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bCs/>
          <w:color w:val="000000"/>
          <w:sz w:val="24"/>
        </w:rPr>
        <w:t>近年</w:t>
      </w:r>
      <w:r>
        <w:rPr>
          <w:rFonts w:ascii="仿宋" w:eastAsia="仿宋" w:hAnsi="仿宋" w:cs="仿宋" w:hint="eastAsia"/>
          <w:bCs/>
          <w:color w:val="000000"/>
          <w:sz w:val="24"/>
        </w:rPr>
        <w:t>A</w:t>
      </w:r>
      <w:r>
        <w:rPr>
          <w:rFonts w:ascii="仿宋" w:eastAsia="仿宋" w:hAnsi="仿宋" w:cs="仿宋"/>
          <w:bCs/>
          <w:color w:val="000000"/>
          <w:sz w:val="24"/>
        </w:rPr>
        <w:t>股市场并购重组案例增多，商誉规模快速增长，但一定程度上</w:t>
      </w:r>
      <w:r>
        <w:rPr>
          <w:rFonts w:ascii="仿宋" w:eastAsia="仿宋" w:hAnsi="仿宋" w:cs="仿宋"/>
          <w:bCs/>
          <w:color w:val="000000"/>
          <w:sz w:val="24"/>
        </w:rPr>
        <w:lastRenderedPageBreak/>
        <w:t>会低估企业的债务负担。如果在总资产中减去商誉，部分企业调整后的资产负债率将明显上升，如三</w:t>
      </w:r>
      <w:proofErr w:type="gramStart"/>
      <w:r>
        <w:rPr>
          <w:rFonts w:ascii="仿宋" w:eastAsia="仿宋" w:hAnsi="仿宋" w:cs="仿宋"/>
          <w:bCs/>
          <w:color w:val="000000"/>
          <w:sz w:val="24"/>
        </w:rPr>
        <w:t>胞集团</w:t>
      </w:r>
      <w:proofErr w:type="gramEnd"/>
      <w:r>
        <w:rPr>
          <w:rFonts w:ascii="仿宋" w:eastAsia="仿宋" w:hAnsi="仿宋" w:cs="仿宋"/>
          <w:bCs/>
          <w:color w:val="000000"/>
          <w:sz w:val="24"/>
        </w:rPr>
        <w:t>有限公司由</w:t>
      </w:r>
      <w:r>
        <w:rPr>
          <w:rFonts w:ascii="仿宋" w:eastAsia="仿宋" w:hAnsi="仿宋" w:cs="仿宋" w:hint="eastAsia"/>
          <w:bCs/>
          <w:color w:val="000000"/>
          <w:sz w:val="24"/>
        </w:rPr>
        <w:t>69.40%</w:t>
      </w:r>
      <w:r>
        <w:rPr>
          <w:rFonts w:ascii="仿宋" w:eastAsia="仿宋" w:hAnsi="仿宋" w:cs="仿宋"/>
          <w:bCs/>
          <w:color w:val="000000"/>
          <w:sz w:val="24"/>
        </w:rPr>
        <w:t>上升到调整后的</w:t>
      </w:r>
      <w:r>
        <w:rPr>
          <w:rFonts w:ascii="仿宋" w:eastAsia="仿宋" w:hAnsi="仿宋" w:cs="仿宋" w:hint="eastAsia"/>
          <w:bCs/>
          <w:color w:val="000000"/>
          <w:sz w:val="24"/>
        </w:rPr>
        <w:t>85.12%</w:t>
      </w:r>
      <w:r>
        <w:rPr>
          <w:rFonts w:ascii="仿宋" w:eastAsia="仿宋" w:hAnsi="仿宋" w:cs="仿宋"/>
          <w:bCs/>
          <w:color w:val="000000"/>
          <w:sz w:val="24"/>
        </w:rPr>
        <w:t>，</w:t>
      </w:r>
      <w:proofErr w:type="gramStart"/>
      <w:r>
        <w:rPr>
          <w:rFonts w:ascii="仿宋" w:eastAsia="仿宋" w:hAnsi="仿宋" w:cs="仿宋"/>
          <w:bCs/>
          <w:color w:val="000000"/>
          <w:sz w:val="24"/>
        </w:rPr>
        <w:t>银亿股份有限公司</w:t>
      </w:r>
      <w:proofErr w:type="gramEnd"/>
      <w:r>
        <w:rPr>
          <w:rFonts w:ascii="仿宋" w:eastAsia="仿宋" w:hAnsi="仿宋" w:cs="仿宋"/>
          <w:bCs/>
          <w:color w:val="000000"/>
          <w:sz w:val="24"/>
        </w:rPr>
        <w:t>由</w:t>
      </w:r>
      <w:r>
        <w:rPr>
          <w:rFonts w:ascii="仿宋" w:eastAsia="仿宋" w:hAnsi="仿宋" w:cs="仿宋" w:hint="eastAsia"/>
          <w:bCs/>
          <w:color w:val="000000"/>
          <w:sz w:val="24"/>
        </w:rPr>
        <w:t>57.84%</w:t>
      </w:r>
      <w:r>
        <w:rPr>
          <w:rFonts w:ascii="仿宋" w:eastAsia="仿宋" w:hAnsi="仿宋" w:cs="仿宋"/>
          <w:bCs/>
          <w:color w:val="000000"/>
          <w:sz w:val="24"/>
        </w:rPr>
        <w:t>上升</w:t>
      </w:r>
      <w:proofErr w:type="gramStart"/>
      <w:r>
        <w:rPr>
          <w:rFonts w:ascii="仿宋" w:eastAsia="仿宋" w:hAnsi="仿宋" w:cs="仿宋"/>
          <w:bCs/>
          <w:color w:val="000000"/>
          <w:sz w:val="24"/>
        </w:rPr>
        <w:t>至调整</w:t>
      </w:r>
      <w:proofErr w:type="gramEnd"/>
      <w:r>
        <w:rPr>
          <w:rFonts w:ascii="仿宋" w:eastAsia="仿宋" w:hAnsi="仿宋" w:cs="仿宋"/>
          <w:bCs/>
          <w:color w:val="000000"/>
          <w:sz w:val="24"/>
        </w:rPr>
        <w:t>后的</w:t>
      </w:r>
      <w:r>
        <w:rPr>
          <w:rFonts w:ascii="仿宋" w:eastAsia="仿宋" w:hAnsi="仿宋" w:cs="仿宋" w:hint="eastAsia"/>
          <w:bCs/>
          <w:color w:val="000000"/>
          <w:sz w:val="24"/>
        </w:rPr>
        <w:t>68.76%</w:t>
      </w:r>
      <w:r>
        <w:rPr>
          <w:rFonts w:ascii="仿宋" w:eastAsia="仿宋" w:hAnsi="仿宋" w:cs="仿宋"/>
          <w:bCs/>
          <w:color w:val="000000"/>
          <w:sz w:val="24"/>
        </w:rPr>
        <w:t>等。若企业未来的获利能力不能实现，那么将会导致商誉减值，净资产缩水，另一方面会侵蚀当期利润，即预示着并购的失败，进而对企业的信用水平产生不良影响。</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bCs/>
          <w:color w:val="000000"/>
          <w:sz w:val="24"/>
        </w:rPr>
        <w:t>上市公司</w:t>
      </w:r>
      <w:r>
        <w:rPr>
          <w:rFonts w:ascii="仿宋" w:eastAsia="仿宋" w:hAnsi="仿宋" w:cs="仿宋" w:hint="eastAsia"/>
          <w:bCs/>
          <w:color w:val="000000"/>
          <w:sz w:val="24"/>
        </w:rPr>
        <w:t>大股东</w:t>
      </w:r>
      <w:r>
        <w:rPr>
          <w:rFonts w:ascii="仿宋" w:eastAsia="仿宋" w:hAnsi="仿宋" w:cs="仿宋"/>
          <w:bCs/>
          <w:color w:val="000000"/>
          <w:sz w:val="24"/>
        </w:rPr>
        <w:t>高比例质押股票，导致其融资弹性下降，</w:t>
      </w:r>
      <w:r>
        <w:rPr>
          <w:rFonts w:ascii="仿宋" w:eastAsia="仿宋" w:hAnsi="仿宋" w:cs="仿宋" w:hint="eastAsia"/>
          <w:bCs/>
          <w:color w:val="000000"/>
          <w:sz w:val="24"/>
        </w:rPr>
        <w:t>2018年股市出现下行，</w:t>
      </w:r>
      <w:r>
        <w:rPr>
          <w:rFonts w:ascii="仿宋" w:eastAsia="仿宋" w:hAnsi="仿宋" w:cs="仿宋"/>
          <w:bCs/>
          <w:color w:val="000000"/>
          <w:sz w:val="24"/>
        </w:rPr>
        <w:t>在股票市值下跌时面临强制平仓风险，进而容易陷入流动性危机，</w:t>
      </w:r>
      <w:r>
        <w:rPr>
          <w:rFonts w:ascii="仿宋" w:eastAsia="仿宋" w:hAnsi="仿宋" w:cs="仿宋" w:hint="eastAsia"/>
          <w:bCs/>
          <w:color w:val="000000"/>
          <w:sz w:val="24"/>
        </w:rPr>
        <w:t>导致</w:t>
      </w:r>
      <w:r>
        <w:rPr>
          <w:rFonts w:ascii="仿宋" w:eastAsia="仿宋" w:hAnsi="仿宋" w:cs="仿宋"/>
          <w:bCs/>
          <w:color w:val="000000"/>
          <w:sz w:val="24"/>
        </w:rPr>
        <w:t>出现违约，引发公司控制权变更，对上市公司的支持能力明显减弱。如</w:t>
      </w:r>
      <w:r>
        <w:rPr>
          <w:rFonts w:ascii="仿宋" w:eastAsia="仿宋" w:hAnsi="仿宋" w:cs="仿宋" w:hint="eastAsia"/>
          <w:bCs/>
          <w:color w:val="000000"/>
          <w:sz w:val="24"/>
        </w:rPr>
        <w:t>2018</w:t>
      </w:r>
      <w:r>
        <w:rPr>
          <w:rFonts w:ascii="仿宋" w:eastAsia="仿宋" w:hAnsi="仿宋" w:cs="仿宋"/>
          <w:bCs/>
          <w:color w:val="000000"/>
          <w:sz w:val="24"/>
        </w:rPr>
        <w:t>年违约的主体中，印记娱乐传媒股份有限公司、江苏宏图高科技股份有限公司的母公司股票质押比例均超过</w:t>
      </w:r>
      <w:r>
        <w:rPr>
          <w:rFonts w:ascii="仿宋" w:eastAsia="仿宋" w:hAnsi="仿宋" w:cs="仿宋" w:hint="eastAsia"/>
          <w:bCs/>
          <w:color w:val="000000"/>
          <w:sz w:val="24"/>
        </w:rPr>
        <w:t>98%</w:t>
      </w:r>
      <w:r>
        <w:rPr>
          <w:rFonts w:ascii="仿宋" w:eastAsia="仿宋" w:hAnsi="仿宋" w:cs="仿宋"/>
          <w:bCs/>
          <w:color w:val="000000"/>
          <w:sz w:val="24"/>
        </w:rPr>
        <w:t>。</w:t>
      </w:r>
      <w:r w:rsidR="00C448D4">
        <w:rPr>
          <w:rFonts w:ascii="仿宋" w:eastAsia="仿宋" w:hAnsi="仿宋" w:cs="仿宋"/>
          <w:bCs/>
          <w:color w:val="000000"/>
          <w:sz w:val="24"/>
        </w:rPr>
        <w:t>另有</w:t>
      </w:r>
      <w:r w:rsidR="001E2183">
        <w:rPr>
          <w:rFonts w:ascii="仿宋" w:eastAsia="仿宋" w:hAnsi="仿宋" w:cs="仿宋"/>
          <w:bCs/>
          <w:color w:val="000000"/>
          <w:sz w:val="24"/>
        </w:rPr>
        <w:t>永泰能源</w:t>
      </w:r>
      <w:r w:rsidR="00037296">
        <w:rPr>
          <w:rFonts w:ascii="仿宋" w:eastAsia="仿宋" w:hAnsi="仿宋" w:cs="仿宋"/>
          <w:bCs/>
          <w:color w:val="000000"/>
          <w:sz w:val="24"/>
        </w:rPr>
        <w:t>，</w:t>
      </w:r>
      <w:r w:rsidR="001E2183">
        <w:rPr>
          <w:rFonts w:ascii="仿宋" w:eastAsia="仿宋" w:hAnsi="仿宋" w:cs="仿宋"/>
          <w:bCs/>
          <w:color w:val="000000"/>
          <w:sz w:val="24"/>
        </w:rPr>
        <w:t>控股股东</w:t>
      </w:r>
      <w:r w:rsidR="00037296">
        <w:rPr>
          <w:rFonts w:ascii="仿宋" w:eastAsia="仿宋" w:hAnsi="仿宋" w:cs="仿宋"/>
          <w:bCs/>
          <w:color w:val="000000"/>
          <w:sz w:val="24"/>
        </w:rPr>
        <w:t>永泰集团</w:t>
      </w:r>
      <w:r w:rsidR="001E2183">
        <w:rPr>
          <w:rFonts w:ascii="仿宋" w:eastAsia="仿宋" w:hAnsi="仿宋" w:cs="仿宋"/>
          <w:bCs/>
          <w:color w:val="000000"/>
          <w:sz w:val="24"/>
        </w:rPr>
        <w:t>质押比例过高，截止2018年7月，控股股东永泰集团共计持有永泰能源40.27亿股，占总股本的32.41%，质押比例高达99.92%。</w:t>
      </w:r>
    </w:p>
    <w:p w:rsidR="0055772C" w:rsidRDefault="0055772C">
      <w:pPr>
        <w:spacing w:line="360" w:lineRule="auto"/>
        <w:ind w:firstLineChars="200" w:firstLine="420"/>
        <w:jc w:val="left"/>
        <w:rPr>
          <w:rFonts w:ascii="仿宋" w:eastAsia="仿宋" w:hAnsi="仿宋" w:cs="仿宋"/>
          <w:bCs/>
          <w:color w:val="000000"/>
          <w:sz w:val="24"/>
        </w:rPr>
      </w:pPr>
      <w:r>
        <w:rPr>
          <w:noProof/>
        </w:rPr>
        <w:drawing>
          <wp:inline distT="0" distB="0" distL="0" distR="0" wp14:anchorId="1E3309EB" wp14:editId="71F57297">
            <wp:extent cx="4133333" cy="3485714"/>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3333" cy="3485714"/>
                    </a:xfrm>
                    <a:prstGeom prst="rect">
                      <a:avLst/>
                    </a:prstGeom>
                  </pic:spPr>
                </pic:pic>
              </a:graphicData>
            </a:graphic>
          </wp:inline>
        </w:drawing>
      </w:r>
    </w:p>
    <w:p w:rsidR="00397C95" w:rsidRDefault="00397C95" w:rsidP="00397C95">
      <w:pPr>
        <w:spacing w:line="360" w:lineRule="auto"/>
        <w:jc w:val="left"/>
        <w:rPr>
          <w:rFonts w:ascii="仿宋" w:eastAsia="仿宋" w:hAnsi="仿宋" w:cs="仿宋"/>
          <w:bCs/>
          <w:color w:val="000000"/>
          <w:sz w:val="24"/>
        </w:rPr>
      </w:pPr>
      <w:r>
        <w:rPr>
          <w:rFonts w:ascii="仿宋" w:eastAsia="仿宋" w:hAnsi="仿宋" w:cs="仿宋"/>
          <w:bCs/>
          <w:color w:val="000000"/>
          <w:sz w:val="24"/>
        </w:rPr>
        <w:t>永泰集团需要积极引进战略投资者，加快资产处置力度，全力开展自救，及时向有关部门，机构沟通，提出有关债务处理的意见，并通过合法途径，有效解决债务问题</w:t>
      </w:r>
      <w:r w:rsidR="009C41FF">
        <w:rPr>
          <w:rFonts w:ascii="仿宋" w:eastAsia="仿宋" w:hAnsi="仿宋" w:cs="仿宋"/>
          <w:bCs/>
          <w:color w:val="000000"/>
          <w:sz w:val="24"/>
        </w:rPr>
        <w:t>，让企业渡过难关</w:t>
      </w:r>
      <w:r>
        <w:rPr>
          <w:rFonts w:ascii="仿宋" w:eastAsia="仿宋" w:hAnsi="仿宋" w:cs="仿宋"/>
          <w:bCs/>
          <w:color w:val="000000"/>
          <w:sz w:val="24"/>
        </w:rPr>
        <w:t>。</w:t>
      </w:r>
    </w:p>
    <w:p w:rsidR="0033212D" w:rsidRDefault="00420541">
      <w:pPr>
        <w:spacing w:line="360" w:lineRule="auto"/>
        <w:ind w:firstLineChars="200" w:firstLine="482"/>
        <w:jc w:val="left"/>
        <w:rPr>
          <w:rFonts w:ascii="仿宋" w:eastAsia="仿宋" w:hAnsi="仿宋" w:cs="仿宋"/>
          <w:b/>
          <w:color w:val="000000"/>
          <w:sz w:val="24"/>
        </w:rPr>
      </w:pPr>
      <w:r w:rsidRPr="00863444">
        <w:rPr>
          <w:rFonts w:ascii="仿宋" w:eastAsia="仿宋" w:hAnsi="仿宋" w:cs="仿宋" w:hint="eastAsia"/>
          <w:b/>
          <w:color w:val="000000"/>
          <w:sz w:val="24"/>
        </w:rPr>
        <w:lastRenderedPageBreak/>
        <w:t>6、负面事件发生</w:t>
      </w:r>
      <w:proofErr w:type="gramStart"/>
      <w:r w:rsidRPr="00863444">
        <w:rPr>
          <w:rFonts w:ascii="仿宋" w:eastAsia="仿宋" w:hAnsi="仿宋" w:cs="仿宋" w:hint="eastAsia"/>
          <w:b/>
          <w:color w:val="000000"/>
          <w:sz w:val="24"/>
        </w:rPr>
        <w:t>次数超</w:t>
      </w:r>
      <w:proofErr w:type="gramEnd"/>
      <w:r w:rsidRPr="00863444">
        <w:rPr>
          <w:rFonts w:ascii="仿宋" w:eastAsia="仿宋" w:hAnsi="仿宋" w:cs="仿宋" w:hint="eastAsia"/>
          <w:b/>
          <w:color w:val="000000"/>
          <w:sz w:val="24"/>
        </w:rPr>
        <w:t>去年约两倍</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2018年公司债信用环境交易弱于去年，公司债市场共发生负面事件1,383起，共涉及150个主体、449只债券，主要表现为主体评级调低、债项评级调低、主体评级负面、推迟评级等负面事件。与2017年相比，2018年发生的负面事件共增加901起，增长了186.93%，涉及主体增加27家、债券增加147只。从负面事件类型看，未按时拨付兑付资金的事件（实质性违约）发生次数上升明显，增长了500%。相应地，债项评级调低、兑付风险警示、主体评级调低等负面事件的增长也在300%以上。推迟评级、担保人评级</w:t>
      </w:r>
      <w:proofErr w:type="gramStart"/>
      <w:r>
        <w:rPr>
          <w:rFonts w:ascii="仿宋" w:eastAsia="仿宋" w:hAnsi="仿宋" w:cs="仿宋" w:hint="eastAsia"/>
          <w:bCs/>
          <w:color w:val="000000"/>
          <w:sz w:val="24"/>
        </w:rPr>
        <w:t>负面等</w:t>
      </w:r>
      <w:proofErr w:type="gramEnd"/>
      <w:r>
        <w:rPr>
          <w:rFonts w:ascii="仿宋" w:eastAsia="仿宋" w:hAnsi="仿宋" w:cs="仿宋" w:hint="eastAsia"/>
          <w:bCs/>
          <w:color w:val="000000"/>
          <w:sz w:val="24"/>
        </w:rPr>
        <w:t>负面事件较2017年有所下降，其中担保人评级负面事件下降了69%。</w:t>
      </w:r>
    </w:p>
    <w:p w:rsidR="0033212D" w:rsidRDefault="00420541">
      <w:pPr>
        <w:spacing w:line="360" w:lineRule="auto"/>
        <w:jc w:val="left"/>
        <w:rPr>
          <w:rFonts w:ascii="仿宋" w:eastAsia="仿宋" w:hAnsi="仿宋" w:cs="仿宋"/>
          <w:bCs/>
          <w:color w:val="000000"/>
          <w:sz w:val="24"/>
        </w:rPr>
      </w:pPr>
      <w:r>
        <w:rPr>
          <w:rFonts w:ascii="仿宋" w:eastAsia="仿宋" w:hAnsi="仿宋" w:cs="仿宋" w:hint="eastAsia"/>
          <w:bCs/>
          <w:color w:val="000000"/>
          <w:sz w:val="24"/>
        </w:rPr>
        <w:t>2018年负面事件概况：</w:t>
      </w:r>
    </w:p>
    <w:tbl>
      <w:tblPr>
        <w:tblW w:w="8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037"/>
        <w:gridCol w:w="2038"/>
        <w:gridCol w:w="1815"/>
      </w:tblGrid>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负面事件类型</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b/>
                <w:color w:val="000000"/>
                <w:sz w:val="24"/>
              </w:rPr>
              <w:t>2018</w:t>
            </w:r>
            <w:r>
              <w:rPr>
                <w:rFonts w:ascii="仿宋" w:eastAsia="仿宋" w:hAnsi="仿宋" w:cs="仿宋" w:hint="eastAsia"/>
                <w:color w:val="000000"/>
                <w:sz w:val="24"/>
              </w:rPr>
              <w:t>年</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b/>
                <w:color w:val="000000"/>
                <w:sz w:val="24"/>
              </w:rPr>
              <w:t>2017</w:t>
            </w:r>
            <w:r>
              <w:rPr>
                <w:rFonts w:ascii="仿宋" w:eastAsia="仿宋" w:hAnsi="仿宋" w:cs="仿宋" w:hint="eastAsia"/>
                <w:color w:val="000000"/>
                <w:sz w:val="24"/>
              </w:rPr>
              <w:t>年</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增长率</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主体评级调低</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707</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173</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308.67%</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主体评级负面</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84</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89</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-5.62%</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推迟评级</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67</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71</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-5.63%</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债项评级调低</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291</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54</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438.89%</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担保人评级调低</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64</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21</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204.76%</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担保人评级负面</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9</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29</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-68.97%</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交易商协会自律处分</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59</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27</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118.52%</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未按时拨付兑付资金</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67</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11</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509.09%</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兑付风险警示</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30</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7</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328.57%</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担保违约</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3</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0</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NA</w:t>
            </w:r>
          </w:p>
        </w:tc>
      </w:tr>
      <w:tr w:rsidR="0033212D">
        <w:trPr>
          <w:trHeight w:val="31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技术性违约</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2</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0</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NA</w:t>
            </w:r>
          </w:p>
        </w:tc>
      </w:tr>
      <w:tr w:rsidR="0033212D">
        <w:trPr>
          <w:trHeight w:val="323"/>
          <w:jc w:val="center"/>
        </w:trPr>
        <w:tc>
          <w:tcPr>
            <w:tcW w:w="240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color w:val="000000"/>
                <w:sz w:val="24"/>
              </w:rPr>
              <w:t>合计</w:t>
            </w:r>
          </w:p>
        </w:tc>
        <w:tc>
          <w:tcPr>
            <w:tcW w:w="2037"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b/>
                <w:color w:val="000000"/>
                <w:sz w:val="24"/>
              </w:rPr>
              <w:t>1,383</w:t>
            </w:r>
          </w:p>
        </w:tc>
        <w:tc>
          <w:tcPr>
            <w:tcW w:w="2038"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b/>
                <w:color w:val="000000"/>
                <w:sz w:val="24"/>
              </w:rPr>
              <w:t>482</w:t>
            </w:r>
          </w:p>
        </w:tc>
        <w:tc>
          <w:tcPr>
            <w:tcW w:w="1815" w:type="dxa"/>
            <w:tcBorders>
              <w:tl2br w:val="nil"/>
              <w:tr2bl w:val="nil"/>
            </w:tcBorders>
          </w:tcPr>
          <w:p w:rsidR="0033212D" w:rsidRDefault="00420541">
            <w:pPr>
              <w:jc w:val="center"/>
              <w:rPr>
                <w:rFonts w:ascii="仿宋" w:eastAsia="仿宋" w:hAnsi="仿宋" w:cs="仿宋"/>
                <w:color w:val="000000"/>
                <w:sz w:val="24"/>
              </w:rPr>
            </w:pPr>
            <w:r>
              <w:rPr>
                <w:rFonts w:ascii="仿宋" w:eastAsia="仿宋" w:hAnsi="仿宋" w:cs="仿宋" w:hint="eastAsia"/>
                <w:b/>
                <w:color w:val="000000"/>
                <w:sz w:val="24"/>
              </w:rPr>
              <w:t>186.93%</w:t>
            </w:r>
          </w:p>
        </w:tc>
      </w:tr>
    </w:tbl>
    <w:p w:rsidR="0033212D" w:rsidRDefault="00420541">
      <w:pPr>
        <w:rPr>
          <w:rFonts w:ascii="仿宋" w:eastAsia="仿宋" w:hAnsi="仿宋" w:cs="仿宋"/>
          <w:b/>
          <w:bCs/>
          <w:color w:val="000000"/>
        </w:rPr>
      </w:pPr>
      <w:r>
        <w:rPr>
          <w:rFonts w:ascii="仿宋" w:eastAsia="仿宋" w:hAnsi="仿宋" w:cs="仿宋" w:hint="eastAsia"/>
          <w:b/>
          <w:bCs/>
          <w:color w:val="000000"/>
        </w:rPr>
        <w:t xml:space="preserve">资料来源：Wind </w:t>
      </w:r>
      <w:proofErr w:type="gramStart"/>
      <w:r>
        <w:rPr>
          <w:rFonts w:ascii="仿宋" w:eastAsia="仿宋" w:hAnsi="仿宋" w:cs="仿宋" w:hint="eastAsia"/>
          <w:b/>
          <w:bCs/>
          <w:color w:val="000000"/>
        </w:rPr>
        <w:t>中证鹏元</w:t>
      </w:r>
      <w:proofErr w:type="gramEnd"/>
    </w:p>
    <w:p w:rsidR="0033212D" w:rsidRDefault="0033212D">
      <w:pPr>
        <w:jc w:val="left"/>
        <w:rPr>
          <w:rFonts w:ascii="宋体" w:eastAsia="宋体" w:hAnsi="宋体"/>
          <w:color w:val="000000"/>
        </w:rPr>
      </w:pPr>
    </w:p>
    <w:p w:rsidR="0033212D" w:rsidRDefault="00420541">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二、民营企业债市违约情况分析</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从外部环境来看，2018年国内经济增长出现弱化趋势，金融市场信用的收缩，债券市场不景气、股市持续走低导致股票质押风险蔓延等多种因素叠加。内部因素来看，部分民营企业前几年通过大幅举债激进扩张，负债率持续走高，长</w:t>
      </w:r>
      <w:proofErr w:type="gramStart"/>
      <w:r>
        <w:rPr>
          <w:rFonts w:ascii="仿宋" w:eastAsia="仿宋" w:hAnsi="仿宋" w:cs="仿宋" w:hint="eastAsia"/>
          <w:bCs/>
          <w:color w:val="000000"/>
          <w:sz w:val="24"/>
        </w:rPr>
        <w:t>短期短期</w:t>
      </w:r>
      <w:proofErr w:type="gramEnd"/>
      <w:r>
        <w:rPr>
          <w:rFonts w:ascii="仿宋" w:eastAsia="仿宋" w:hAnsi="仿宋" w:cs="仿宋" w:hint="eastAsia"/>
          <w:bCs/>
          <w:color w:val="000000"/>
          <w:sz w:val="24"/>
        </w:rPr>
        <w:t>偿债压力增大，但债务期限错配，盈利不达预期，抗风险能力弱化，加之公司治理不完善等内部问题暴露明显。综上的内外部环境的大幅变化，引致民营企业的信用风险暴露及风险事件频发。</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2018年新增的40家违约主体中，民企（28家）占比70.0%，较2018</w:t>
      </w:r>
      <w:r>
        <w:rPr>
          <w:rFonts w:ascii="仿宋" w:eastAsia="仿宋" w:hAnsi="仿宋" w:cs="仿宋" w:hint="eastAsia"/>
          <w:bCs/>
          <w:color w:val="000000"/>
          <w:sz w:val="24"/>
        </w:rPr>
        <w:lastRenderedPageBreak/>
        <w:t>年以前有所提高。从违约金额来看，2018年新增违约民企主体违约金额约726.65亿元，占新增违约主体总违约金额的80%以上。新增的40家违约主体中，共有16家上市公司，其中有12家为上市民</w:t>
      </w:r>
      <w:proofErr w:type="gramStart"/>
      <w:r>
        <w:rPr>
          <w:rFonts w:ascii="仿宋" w:eastAsia="仿宋" w:hAnsi="仿宋" w:cs="仿宋" w:hint="eastAsia"/>
          <w:bCs/>
          <w:color w:val="000000"/>
          <w:sz w:val="24"/>
        </w:rPr>
        <w:t>企发生</w:t>
      </w:r>
      <w:proofErr w:type="gramEnd"/>
      <w:r>
        <w:rPr>
          <w:rFonts w:ascii="仿宋" w:eastAsia="仿宋" w:hAnsi="仿宋" w:cs="仿宋" w:hint="eastAsia"/>
          <w:bCs/>
          <w:color w:val="000000"/>
          <w:sz w:val="24"/>
        </w:rPr>
        <w:t>违约，违约金额约252.05亿元。</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2018年民营企业违约的原因及特征主要包括以下几方面：</w:t>
      </w:r>
    </w:p>
    <w:p w:rsidR="0033212D" w:rsidRDefault="00420541">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1、激进扩张，债务期限错配问题严重</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2018年的违约主体大多在前几年在信用宽松期使用杠杆快速扩张，有些甚至是偏离主业的投资并购，短借长投的现象明显，激进扩张、过度举债，但短期内盈利能力无法兑现，不足以支撑资产规模的快速扩大。在行业环境、政策等发生变化或项目回报未达预期时，投资活动现金流巨额支出的同时经营现金流回收不及预期，随着刚性债务规模持续增长，公司流动性持续承压，整体现金流紧张，最终加速风险的暴露，资金链断裂。</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典型企业主要包括</w:t>
      </w:r>
      <w:proofErr w:type="gramStart"/>
      <w:r>
        <w:rPr>
          <w:rFonts w:ascii="仿宋" w:eastAsia="仿宋" w:hAnsi="仿宋" w:cs="仿宋" w:hint="eastAsia"/>
          <w:bCs/>
          <w:color w:val="000000"/>
          <w:sz w:val="24"/>
        </w:rPr>
        <w:t>凯迪</w:t>
      </w:r>
      <w:proofErr w:type="gramEnd"/>
      <w:r>
        <w:rPr>
          <w:rFonts w:ascii="仿宋" w:eastAsia="仿宋" w:hAnsi="仿宋" w:cs="仿宋" w:hint="eastAsia"/>
          <w:bCs/>
          <w:color w:val="000000"/>
          <w:sz w:val="24"/>
        </w:rPr>
        <w:t>生态、永泰能源。</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须关注：2013年-2017年上述两家企业投资支出水平远超经营</w:t>
      </w:r>
      <w:proofErr w:type="gramStart"/>
      <w:r>
        <w:rPr>
          <w:rFonts w:ascii="仿宋" w:eastAsia="仿宋" w:hAnsi="仿宋" w:cs="仿宋" w:hint="eastAsia"/>
          <w:bCs/>
          <w:color w:val="000000"/>
          <w:sz w:val="24"/>
        </w:rPr>
        <w:t>获现能力</w:t>
      </w:r>
      <w:proofErr w:type="gramEnd"/>
      <w:r>
        <w:rPr>
          <w:rFonts w:ascii="仿宋" w:eastAsia="仿宋" w:hAnsi="仿宋" w:cs="仿宋" w:hint="eastAsia"/>
          <w:bCs/>
          <w:color w:val="000000"/>
          <w:sz w:val="24"/>
        </w:rPr>
        <w:t>，激进投资与经营性现金流不匹配，融资环境收紧的背景下，风险最终爆发。</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现金流永远比账面资产和利润的扩张重要，资产扩张、收入或盈利的快速增长最终仍需回归内生的造血能力。同时企业发展的资本金投入和盈利积累至关重要，负债规模应适度，期限应匹配合理，如过度举债使得杠杆快速上升，特别是将大量短期债务投资于长期项目，项目盈利和现金流短期内无法实现，外部融资环境一旦收紧，债务能否滚存完全取决于金融机构的态度。</w:t>
      </w:r>
    </w:p>
    <w:p w:rsidR="0033212D" w:rsidRDefault="00420541">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2、公司治理不规范的问题突出</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2018年民营企业违约债券案例中，多家企业出现实际控制人风险、关联方资金占用、违规关联担保、信息披露不规范、财务真实性等公司治理方面的问题。民营企业实际控制人对企业经营及财务管理影响重大。实际控制人的管理风格和个人品格很大程度上决定了企业的发展方向和隐藏的风险。公司与其实际控制人、参股企业，母子公司之间等关联公司在人员、财务、业务等方面混同情况较多，易受实际控制人及其他关联方风险</w:t>
      </w:r>
      <w:r>
        <w:rPr>
          <w:rFonts w:ascii="仿宋" w:eastAsia="仿宋" w:hAnsi="仿宋" w:cs="仿宋" w:hint="eastAsia"/>
          <w:bCs/>
          <w:color w:val="000000"/>
          <w:sz w:val="24"/>
        </w:rPr>
        <w:lastRenderedPageBreak/>
        <w:t>传导影响。</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须重点关注：民营企业公司治理不规范可能蕴藏的以下风险：</w:t>
      </w:r>
    </w:p>
    <w:p w:rsidR="0033212D" w:rsidRDefault="00420541">
      <w:pPr>
        <w:numPr>
          <w:ilvl w:val="0"/>
          <w:numId w:val="1"/>
        </w:num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关联方资金占用情况，以及是否有转移资金的嫌疑或者是关联</w:t>
      </w:r>
      <w:proofErr w:type="gramStart"/>
      <w:r>
        <w:rPr>
          <w:rFonts w:ascii="仿宋" w:eastAsia="仿宋" w:hAnsi="仿宋" w:cs="仿宋" w:hint="eastAsia"/>
          <w:bCs/>
          <w:color w:val="000000"/>
          <w:sz w:val="24"/>
        </w:rPr>
        <w:t>方业务</w:t>
      </w:r>
      <w:proofErr w:type="gramEnd"/>
      <w:r>
        <w:rPr>
          <w:rFonts w:ascii="仿宋" w:eastAsia="仿宋" w:hAnsi="仿宋" w:cs="仿宋" w:hint="eastAsia"/>
          <w:bCs/>
          <w:color w:val="000000"/>
          <w:sz w:val="24"/>
        </w:rPr>
        <w:t>是否存在高风险。11月22日，深交所发布《严厉打击上市公司控股股东、实际控制人违规占用资金行为》，将持续深化对上市公司及其控股股东、实际控制人规范运作监管，多</w:t>
      </w:r>
      <w:proofErr w:type="gramStart"/>
      <w:r>
        <w:rPr>
          <w:rFonts w:ascii="仿宋" w:eastAsia="仿宋" w:hAnsi="仿宋" w:cs="仿宋" w:hint="eastAsia"/>
          <w:bCs/>
          <w:color w:val="000000"/>
          <w:sz w:val="24"/>
        </w:rPr>
        <w:t>措</w:t>
      </w:r>
      <w:proofErr w:type="gramEnd"/>
      <w:r>
        <w:rPr>
          <w:rFonts w:ascii="仿宋" w:eastAsia="仿宋" w:hAnsi="仿宋" w:cs="仿宋" w:hint="eastAsia"/>
          <w:bCs/>
          <w:color w:val="000000"/>
          <w:sz w:val="24"/>
        </w:rPr>
        <w:t>并举，严厉打击资金占用违规行为。</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2018年以来，深交所共发现并处理了20单涉及控股股东、实际控制人及其关联方资金占用行为的违规事项，目前已对ST准油、千山药机、新疆</w:t>
      </w:r>
      <w:proofErr w:type="gramStart"/>
      <w:r>
        <w:rPr>
          <w:rFonts w:ascii="仿宋" w:eastAsia="仿宋" w:hAnsi="仿宋" w:cs="仿宋" w:hint="eastAsia"/>
          <w:bCs/>
          <w:color w:val="000000"/>
          <w:sz w:val="24"/>
        </w:rPr>
        <w:t>浩</w:t>
      </w:r>
      <w:proofErr w:type="gramEnd"/>
      <w:r>
        <w:rPr>
          <w:rFonts w:ascii="仿宋" w:eastAsia="仿宋" w:hAnsi="仿宋" w:cs="仿宋" w:hint="eastAsia"/>
          <w:bCs/>
          <w:color w:val="000000"/>
          <w:sz w:val="24"/>
        </w:rPr>
        <w:t>源等3单实施公开谴责，对林州重机、同德化工、赫美集团、海南海药等4单实施通报批评，对银星能源发出监管函，对高升控股、科</w:t>
      </w:r>
      <w:proofErr w:type="gramStart"/>
      <w:r>
        <w:rPr>
          <w:rFonts w:ascii="仿宋" w:eastAsia="仿宋" w:hAnsi="仿宋" w:cs="仿宋" w:hint="eastAsia"/>
          <w:bCs/>
          <w:color w:val="000000"/>
          <w:sz w:val="24"/>
        </w:rPr>
        <w:t>融环境</w:t>
      </w:r>
      <w:proofErr w:type="gramEnd"/>
      <w:r>
        <w:rPr>
          <w:rFonts w:ascii="仿宋" w:eastAsia="仿宋" w:hAnsi="仿宋" w:cs="仿宋" w:hint="eastAsia"/>
          <w:bCs/>
          <w:color w:val="000000"/>
          <w:sz w:val="24"/>
        </w:rPr>
        <w:t>等8</w:t>
      </w:r>
      <w:proofErr w:type="gramStart"/>
      <w:r>
        <w:rPr>
          <w:rFonts w:ascii="仿宋" w:eastAsia="仿宋" w:hAnsi="仿宋" w:cs="仿宋" w:hint="eastAsia"/>
          <w:bCs/>
          <w:color w:val="000000"/>
          <w:sz w:val="24"/>
        </w:rPr>
        <w:t>单启动</w:t>
      </w:r>
      <w:proofErr w:type="gramEnd"/>
      <w:r>
        <w:rPr>
          <w:rFonts w:ascii="仿宋" w:eastAsia="仿宋" w:hAnsi="仿宋" w:cs="仿宋" w:hint="eastAsia"/>
          <w:bCs/>
          <w:color w:val="000000"/>
          <w:sz w:val="24"/>
        </w:rPr>
        <w:t>公开谴责、通报批评等纪律处分程序，并对剩余4</w:t>
      </w:r>
      <w:proofErr w:type="gramStart"/>
      <w:r>
        <w:rPr>
          <w:rFonts w:ascii="仿宋" w:eastAsia="仿宋" w:hAnsi="仿宋" w:cs="仿宋" w:hint="eastAsia"/>
          <w:bCs/>
          <w:color w:val="000000"/>
          <w:sz w:val="24"/>
        </w:rPr>
        <w:t>单启动</w:t>
      </w:r>
      <w:proofErr w:type="gramEnd"/>
      <w:r>
        <w:rPr>
          <w:rFonts w:ascii="仿宋" w:eastAsia="仿宋" w:hAnsi="仿宋" w:cs="仿宋" w:hint="eastAsia"/>
          <w:bCs/>
          <w:color w:val="000000"/>
          <w:sz w:val="24"/>
        </w:rPr>
        <w:t>核查程序。纪律处分对象不仅包括占用资金的上市公司控股股东、实际控制人及其关联方，还包括配合股东占用资金或自身内控制度执行不到位的上市公司以及对违规占用行为应当承担责任的上市公司董监高。</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典型案例：盛运环保是一家从事环保类设备、固</w:t>
      </w:r>
      <w:proofErr w:type="gramStart"/>
      <w:r>
        <w:rPr>
          <w:rFonts w:ascii="仿宋" w:eastAsia="仿宋" w:hAnsi="仿宋" w:cs="仿宋" w:hint="eastAsia"/>
          <w:bCs/>
          <w:color w:val="000000"/>
          <w:sz w:val="24"/>
        </w:rPr>
        <w:t>废处理</w:t>
      </w:r>
      <w:proofErr w:type="gramEnd"/>
      <w:r>
        <w:rPr>
          <w:rFonts w:ascii="仿宋" w:eastAsia="仿宋" w:hAnsi="仿宋" w:cs="仿宋" w:hint="eastAsia"/>
          <w:bCs/>
          <w:color w:val="000000"/>
          <w:sz w:val="24"/>
        </w:rPr>
        <w:t>的民营上市企业。2018年5月，公司在《2017年度内部控制评价报告》中披露了内控体系存在的重大缺陷，具体包括：对外财务资助（即关联方占用款）金额巨大、违规对外担保金额、关联方披露不完全不及时、多个表外融资账户未纳入公司财务核算等。</w:t>
      </w:r>
    </w:p>
    <w:p w:rsidR="0033212D" w:rsidRDefault="00420541">
      <w:pPr>
        <w:numPr>
          <w:ilvl w:val="0"/>
          <w:numId w:val="1"/>
        </w:num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违规担保等或有负债问题。公司可能通过对外担保转移资金或被担保方经营突然恶化，发生代偿使企业突然面临重大风险。</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例如：富贵鸟股份有限公司作为富贵鸟集团有限公司下属上市子公司，为集团旗下其他子公司或关联公司提供担保，担保风险超出公司承受能力，大额代偿事项的发生、大量对外资金拆借使得公司财务状况恶化。</w:t>
      </w:r>
    </w:p>
    <w:p w:rsidR="0033212D" w:rsidRDefault="00420541">
      <w:pPr>
        <w:numPr>
          <w:ilvl w:val="0"/>
          <w:numId w:val="1"/>
        </w:num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隐藏的财务问题、审计意见存在瑕疵。公司被出具非标准审计意见或审计事务所出现非正常更换可能是公司财务数据存在粉饰行为甚至财务造假，可被视为信用资质恶化的重要信号。</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例如：中安科股份有限公司2016 年被德勤出具无法表示意见的审计</w:t>
      </w:r>
      <w:r>
        <w:rPr>
          <w:rFonts w:ascii="仿宋" w:eastAsia="仿宋" w:hAnsi="仿宋" w:cs="仿宋" w:hint="eastAsia"/>
          <w:bCs/>
          <w:color w:val="000000"/>
          <w:sz w:val="24"/>
        </w:rPr>
        <w:lastRenderedPageBreak/>
        <w:t>报告，盈利质量存疑，更换会计师事务所后2017年财务数据仍被出具</w:t>
      </w:r>
      <w:proofErr w:type="gramStart"/>
      <w:r>
        <w:rPr>
          <w:rFonts w:ascii="仿宋" w:eastAsia="仿宋" w:hAnsi="仿宋" w:cs="仿宋" w:hint="eastAsia"/>
          <w:bCs/>
          <w:color w:val="000000"/>
          <w:sz w:val="24"/>
        </w:rPr>
        <w:t>带强调</w:t>
      </w:r>
      <w:proofErr w:type="gramEnd"/>
      <w:r>
        <w:rPr>
          <w:rFonts w:ascii="仿宋" w:eastAsia="仿宋" w:hAnsi="仿宋" w:cs="仿宋" w:hint="eastAsia"/>
          <w:bCs/>
          <w:color w:val="000000"/>
          <w:sz w:val="24"/>
        </w:rPr>
        <w:t>事项段无保留意见审计报告。同时2019年受康得</w:t>
      </w:r>
      <w:proofErr w:type="gramStart"/>
      <w:r>
        <w:rPr>
          <w:rFonts w:ascii="仿宋" w:eastAsia="仿宋" w:hAnsi="仿宋" w:cs="仿宋" w:hint="eastAsia"/>
          <w:bCs/>
          <w:color w:val="000000"/>
          <w:sz w:val="24"/>
        </w:rPr>
        <w:t>新事件</w:t>
      </w:r>
      <w:proofErr w:type="gramEnd"/>
      <w:r>
        <w:rPr>
          <w:rFonts w:ascii="仿宋" w:eastAsia="仿宋" w:hAnsi="仿宋" w:cs="仿宋" w:hint="eastAsia"/>
          <w:bCs/>
          <w:color w:val="000000"/>
          <w:sz w:val="24"/>
        </w:rPr>
        <w:t>影响，“存贷双高”的财务表象被引起强烈关注，康美药业、东旭光电、东旭蓝天等公司受到影响。</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（4）实际控制人及高管频繁变动。相比国企，民营企业实际控制人和管理层的稳定性对于企业经营可持续性和再融资稳定性影响重大。</w:t>
      </w:r>
    </w:p>
    <w:p w:rsidR="0033212D" w:rsidRDefault="00420541">
      <w:pPr>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例如：</w:t>
      </w:r>
      <w:proofErr w:type="gramStart"/>
      <w:r>
        <w:rPr>
          <w:rFonts w:ascii="仿宋" w:eastAsia="仿宋" w:hAnsi="仿宋" w:cs="仿宋" w:hint="eastAsia"/>
          <w:bCs/>
          <w:color w:val="000000"/>
          <w:sz w:val="24"/>
        </w:rPr>
        <w:t>中弘股份王</w:t>
      </w:r>
      <w:proofErr w:type="gramEnd"/>
      <w:r>
        <w:rPr>
          <w:rFonts w:ascii="仿宋" w:eastAsia="仿宋" w:hAnsi="仿宋" w:cs="仿宋" w:hint="eastAsia"/>
          <w:bCs/>
          <w:color w:val="000000"/>
          <w:sz w:val="24"/>
        </w:rPr>
        <w:t>永红、上海</w:t>
      </w:r>
      <w:proofErr w:type="gramStart"/>
      <w:r>
        <w:rPr>
          <w:rFonts w:ascii="仿宋" w:eastAsia="仿宋" w:hAnsi="仿宋" w:cs="仿宋" w:hint="eastAsia"/>
          <w:bCs/>
          <w:color w:val="000000"/>
          <w:sz w:val="24"/>
        </w:rPr>
        <w:t>华信叶简明</w:t>
      </w:r>
      <w:proofErr w:type="gramEnd"/>
      <w:r>
        <w:rPr>
          <w:rFonts w:ascii="仿宋" w:eastAsia="仿宋" w:hAnsi="仿宋" w:cs="仿宋" w:hint="eastAsia"/>
          <w:bCs/>
          <w:color w:val="000000"/>
          <w:sz w:val="24"/>
        </w:rPr>
        <w:t>等重大负面事件对公司经营及融资影响重大。此外高管的频繁变动的潜在风险较大。</w:t>
      </w:r>
      <w:proofErr w:type="gramStart"/>
      <w:r>
        <w:rPr>
          <w:rFonts w:ascii="仿宋" w:eastAsia="仿宋" w:hAnsi="仿宋" w:cs="仿宋" w:hint="eastAsia"/>
          <w:bCs/>
          <w:color w:val="000000"/>
          <w:sz w:val="24"/>
        </w:rPr>
        <w:t>印纪传媒</w:t>
      </w:r>
      <w:proofErr w:type="gramEnd"/>
      <w:r>
        <w:rPr>
          <w:rFonts w:ascii="仿宋" w:eastAsia="仿宋" w:hAnsi="仿宋" w:cs="仿宋" w:hint="eastAsia"/>
          <w:bCs/>
          <w:color w:val="000000"/>
          <w:sz w:val="24"/>
        </w:rPr>
        <w:t>自2016年4月以来</w:t>
      </w:r>
      <w:proofErr w:type="gramStart"/>
      <w:r>
        <w:rPr>
          <w:rFonts w:ascii="仿宋" w:eastAsia="仿宋" w:hAnsi="仿宋" w:cs="仿宋" w:hint="eastAsia"/>
          <w:bCs/>
          <w:color w:val="000000"/>
          <w:sz w:val="24"/>
        </w:rPr>
        <w:t>董监高密集</w:t>
      </w:r>
      <w:proofErr w:type="gramEnd"/>
      <w:r>
        <w:rPr>
          <w:rFonts w:ascii="仿宋" w:eastAsia="仿宋" w:hAnsi="仿宋" w:cs="仿宋" w:hint="eastAsia"/>
          <w:bCs/>
          <w:color w:val="000000"/>
          <w:sz w:val="24"/>
        </w:rPr>
        <w:t>离职，多个空缺职位长期由一人兼任，2018年9月8日，“17印纪娱乐CP001”到期违约。</w:t>
      </w:r>
    </w:p>
    <w:p w:rsidR="0033212D" w:rsidRDefault="00420541">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3、2018年融资环境及信用紧缩下民企受到的冲击最大</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本轮违约高峰的一个显著特点是，经济去杠杆和金融强监管的背景下再融资渠道受限导致企业短期资金链断裂从而发生违约。</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（1）2018年以来信贷额度普遍偏紧，并且优先集中于</w:t>
      </w:r>
      <w:proofErr w:type="gramStart"/>
      <w:r>
        <w:rPr>
          <w:rFonts w:ascii="仿宋" w:eastAsia="仿宋" w:hAnsi="仿宋" w:cs="仿宋" w:hint="eastAsia"/>
          <w:bCs/>
          <w:color w:val="000000"/>
          <w:sz w:val="24"/>
        </w:rPr>
        <w:t>大型央企和</w:t>
      </w:r>
      <w:proofErr w:type="gramEnd"/>
      <w:r>
        <w:rPr>
          <w:rFonts w:ascii="仿宋" w:eastAsia="仿宋" w:hAnsi="仿宋" w:cs="仿宋" w:hint="eastAsia"/>
          <w:bCs/>
          <w:color w:val="000000"/>
          <w:sz w:val="24"/>
        </w:rPr>
        <w:t>国企，民营企业获得信贷支持难度增大，尤其对于信用资质较低的企业。</w:t>
      </w:r>
    </w:p>
    <w:p w:rsidR="0033212D" w:rsidRDefault="00420541">
      <w:pPr>
        <w:numPr>
          <w:ilvl w:val="0"/>
          <w:numId w:val="2"/>
        </w:numPr>
        <w:spacing w:line="360" w:lineRule="auto"/>
        <w:ind w:firstLineChars="200" w:firstLine="480"/>
        <w:rPr>
          <w:rFonts w:ascii="仿宋" w:eastAsia="仿宋" w:hAnsi="仿宋" w:cs="仿宋"/>
          <w:bCs/>
          <w:color w:val="000000"/>
          <w:sz w:val="24"/>
        </w:rPr>
      </w:pPr>
      <w:proofErr w:type="gramStart"/>
      <w:r>
        <w:rPr>
          <w:rFonts w:ascii="仿宋" w:eastAsia="仿宋" w:hAnsi="仿宋" w:cs="仿宋" w:hint="eastAsia"/>
          <w:bCs/>
          <w:color w:val="000000"/>
          <w:sz w:val="24"/>
        </w:rPr>
        <w:t>资管新规</w:t>
      </w:r>
      <w:proofErr w:type="gramEnd"/>
      <w:r>
        <w:rPr>
          <w:rFonts w:ascii="仿宋" w:eastAsia="仿宋" w:hAnsi="仿宋" w:cs="仿宋" w:hint="eastAsia"/>
          <w:bCs/>
          <w:color w:val="000000"/>
          <w:sz w:val="24"/>
        </w:rPr>
        <w:t>出台后表外融资清理整顿加速，而表内贷款的增长情况并未能弥补表外融资规模下降造成的资金缺口，从而加大了企业的流动性风险。同时股票质押融资的限制增多，空间受限。股市出现持续下跌，对高质押率的大股东影响明显。</w:t>
      </w:r>
    </w:p>
    <w:p w:rsidR="0033212D" w:rsidRDefault="00420541">
      <w:pPr>
        <w:numPr>
          <w:ilvl w:val="0"/>
          <w:numId w:val="2"/>
        </w:num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债券市场违约事件频发使得投资者风险偏好下降，进一步加剧了企业的融资难度，2018年债券一级市场发行结构整体呈现短期化、高等级化特征。推迟或取消发行的债券明显增加，取消发行主体评级主要集中在AA+或AA级，部分主体评级较低的债券发行人面临较大的融资压力。特别是部分民营企业抵御风险能力较差，在外部融资环境急剧恶化的情况下，违约事件集中发生。</w:t>
      </w:r>
    </w:p>
    <w:p w:rsidR="0033212D" w:rsidRDefault="0033212D">
      <w:pPr>
        <w:spacing w:line="360" w:lineRule="auto"/>
        <w:ind w:leftChars="200" w:left="420"/>
        <w:rPr>
          <w:rFonts w:ascii="仿宋" w:eastAsia="仿宋" w:hAnsi="仿宋" w:cs="仿宋"/>
          <w:bCs/>
          <w:color w:val="000000"/>
          <w:sz w:val="24"/>
        </w:rPr>
      </w:pPr>
    </w:p>
    <w:p w:rsidR="0033212D" w:rsidRDefault="00420541">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三、2018年</w:t>
      </w:r>
      <w:proofErr w:type="gramStart"/>
      <w:r>
        <w:rPr>
          <w:rFonts w:ascii="仿宋" w:eastAsia="仿宋" w:hAnsi="仿宋" w:cs="仿宋" w:hint="eastAsia"/>
          <w:b/>
          <w:bCs/>
          <w:sz w:val="28"/>
          <w:szCs w:val="28"/>
        </w:rPr>
        <w:t>城投类企业</w:t>
      </w:r>
      <w:proofErr w:type="gramEnd"/>
      <w:r>
        <w:rPr>
          <w:rFonts w:ascii="仿宋" w:eastAsia="仿宋" w:hAnsi="仿宋" w:cs="仿宋" w:hint="eastAsia"/>
          <w:b/>
          <w:bCs/>
          <w:sz w:val="28"/>
          <w:szCs w:val="28"/>
        </w:rPr>
        <w:t>违约特点分析</w:t>
      </w:r>
    </w:p>
    <w:tbl>
      <w:tblPr>
        <w:tblW w:w="8400" w:type="dxa"/>
        <w:tblLayout w:type="fixed"/>
        <w:tblLook w:val="04A0" w:firstRow="1" w:lastRow="0" w:firstColumn="1" w:lastColumn="0" w:noHBand="0" w:noVBand="1"/>
      </w:tblPr>
      <w:tblGrid>
        <w:gridCol w:w="8400"/>
      </w:tblGrid>
      <w:tr w:rsidR="0033212D">
        <w:trPr>
          <w:trHeight w:val="2523"/>
        </w:trPr>
        <w:tc>
          <w:tcPr>
            <w:tcW w:w="8400" w:type="dxa"/>
            <w:tcBorders>
              <w:tl2br w:val="nil"/>
              <w:tr2bl w:val="nil"/>
            </w:tcBorders>
          </w:tcPr>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lastRenderedPageBreak/>
              <w:t>近年不少城投公司非标产品出现违约，已出现首</w:t>
            </w:r>
            <w:proofErr w:type="gramStart"/>
            <w:r>
              <w:rPr>
                <w:rFonts w:ascii="仿宋" w:eastAsia="仿宋" w:hAnsi="仿宋" w:cs="仿宋" w:hint="eastAsia"/>
                <w:bCs/>
                <w:color w:val="000000"/>
                <w:sz w:val="24"/>
              </w:rPr>
              <w:t>单城投债违约</w:t>
            </w:r>
            <w:proofErr w:type="gramEnd"/>
            <w:r>
              <w:rPr>
                <w:rFonts w:ascii="仿宋" w:eastAsia="仿宋" w:hAnsi="仿宋" w:cs="仿宋" w:hint="eastAsia"/>
                <w:bCs/>
                <w:color w:val="000000"/>
                <w:sz w:val="24"/>
              </w:rPr>
              <w:t>，2018年不少城投公司出现了违约，其特点表现如下：</w:t>
            </w:r>
          </w:p>
          <w:p w:rsidR="0033212D" w:rsidRDefault="00420541">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1、地方政府信用质量分化，城投违约集中于中西部地区的区县级</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从地域来看，城投公司违约中、西部地区</w:t>
            </w:r>
            <w:proofErr w:type="gramStart"/>
            <w:r>
              <w:rPr>
                <w:rFonts w:ascii="仿宋" w:eastAsia="仿宋" w:hAnsi="仿宋" w:cs="仿宋" w:hint="eastAsia"/>
                <w:bCs/>
                <w:color w:val="000000"/>
                <w:sz w:val="24"/>
              </w:rPr>
              <w:t>占比较</w:t>
            </w:r>
            <w:proofErr w:type="gramEnd"/>
            <w:r>
              <w:rPr>
                <w:rFonts w:ascii="仿宋" w:eastAsia="仿宋" w:hAnsi="仿宋" w:cs="仿宋" w:hint="eastAsia"/>
                <w:bCs/>
                <w:color w:val="000000"/>
                <w:sz w:val="24"/>
              </w:rPr>
              <w:t>高。从行政级别来看，除了天津市政建设集团、云南国有资本运营有限公司，其他城投公司违约主要集中于区县级，且以中西部地区数量为多。由于中西部市县级政府经济财政实力较弱，城投企业实力不强，同时，在整治违法违规举债背景下，城投企业流动性压力格外突出，从而出现大量投企业违约发生。</w:t>
            </w:r>
          </w:p>
        </w:tc>
      </w:tr>
    </w:tbl>
    <w:p w:rsidR="0033212D" w:rsidRDefault="00420541">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2、</w:t>
      </w:r>
      <w:proofErr w:type="gramStart"/>
      <w:r>
        <w:rPr>
          <w:rFonts w:ascii="仿宋" w:eastAsia="仿宋" w:hAnsi="仿宋" w:cs="仿宋" w:hint="eastAsia"/>
          <w:b/>
          <w:color w:val="000000"/>
          <w:sz w:val="24"/>
        </w:rPr>
        <w:t>受严监管</w:t>
      </w:r>
      <w:proofErr w:type="gramEnd"/>
      <w:r>
        <w:rPr>
          <w:rFonts w:ascii="仿宋" w:eastAsia="仿宋" w:hAnsi="仿宋" w:cs="仿宋" w:hint="eastAsia"/>
          <w:b/>
          <w:color w:val="000000"/>
          <w:sz w:val="24"/>
        </w:rPr>
        <w:t>影响，信托、资管、私募等产品违约多，债券违约少</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从具体产品来看，信托、资管、私募等产品违约明显高于债券。2018年城投公司债券违约仅新疆建设兵团农六师，并且这只债券很快得到了兑付，大部分城投公司违约产品主要为信托、资管、私募等产品。城投债券违约较少，与能够在债券市场融资的城投公司实力均比较强、偿债能力较强有关，只有实力相对较弱的城投企业才不得不以更高的价格通过非标产品进行融资。同时，相对债券这些标准化产品，非标融资受到严监管的影响明显更大。严监管主要来自于两方面，一是去杠杆之下，非标产品监管要严于标准化产品，城投企业以非标进行再融资的能力受到限制，另外大部分城投非标产品存在地方政府违规担保，在当前整治地方政府违法违规融资举债之下，城投企业再融资能力也受到限制。</w:t>
      </w:r>
    </w:p>
    <w:p w:rsidR="0033212D" w:rsidRDefault="00420541">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3、受担保牵累，城投公司代偿风险突出</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城投公司对外担保情况较为突出，城投公司对外</w:t>
      </w:r>
      <w:proofErr w:type="gramStart"/>
      <w:r>
        <w:rPr>
          <w:rFonts w:ascii="仿宋" w:eastAsia="仿宋" w:hAnsi="仿宋" w:cs="仿宋" w:hint="eastAsia"/>
          <w:bCs/>
          <w:color w:val="000000"/>
          <w:sz w:val="24"/>
        </w:rPr>
        <w:t>担保既</w:t>
      </w:r>
      <w:proofErr w:type="gramEnd"/>
      <w:r>
        <w:rPr>
          <w:rFonts w:ascii="仿宋" w:eastAsia="仿宋" w:hAnsi="仿宋" w:cs="仿宋" w:hint="eastAsia"/>
          <w:bCs/>
          <w:color w:val="000000"/>
          <w:sz w:val="24"/>
        </w:rPr>
        <w:t>包括城投互保，也包括对非城投企业的担保，比如民营企业。当被担保企业面临债务风险，无法如期偿债时，城投平台因而承担代偿责任，这可能会加重了城投平台的债务负担，出现流动性危机。2018年部分城投公司违约主要是由于受担保牵累所致，以韩城城投为例，据韩城城投透露，违约并非因自身经营状况出现波动造成，主要是因为其为民营企业担保，因民企未按期偿还金融机构贷款导致该城投公司被诉讼致使融资断链。</w:t>
      </w:r>
    </w:p>
    <w:p w:rsidR="0033212D" w:rsidRDefault="00420541">
      <w:pPr>
        <w:spacing w:line="360" w:lineRule="auto"/>
        <w:ind w:firstLineChars="200" w:firstLine="480"/>
        <w:rPr>
          <w:rFonts w:ascii="仿宋" w:eastAsia="仿宋" w:hAnsi="仿宋" w:cs="仿宋"/>
          <w:bCs/>
          <w:color w:val="0000FF"/>
          <w:sz w:val="24"/>
        </w:rPr>
      </w:pPr>
      <w:r>
        <w:rPr>
          <w:rFonts w:ascii="仿宋" w:eastAsia="仿宋" w:hAnsi="仿宋" w:cs="仿宋" w:hint="eastAsia"/>
          <w:bCs/>
          <w:color w:val="0000FF"/>
          <w:sz w:val="24"/>
        </w:rPr>
        <w:t>2018年部分城投企业违约情况：</w:t>
      </w:r>
    </w:p>
    <w:p w:rsidR="0045666C" w:rsidRDefault="00C34A56">
      <w:pPr>
        <w:spacing w:line="360" w:lineRule="auto"/>
        <w:ind w:firstLineChars="200" w:firstLine="480"/>
        <w:rPr>
          <w:rFonts w:ascii="仿宋" w:eastAsia="仿宋" w:hAnsi="仿宋" w:cs="仿宋"/>
          <w:bCs/>
          <w:color w:val="0000FF"/>
          <w:sz w:val="24"/>
        </w:rPr>
      </w:pPr>
      <w:r w:rsidRPr="00C34A56">
        <w:rPr>
          <w:rFonts w:ascii="仿宋" w:eastAsia="仿宋" w:hAnsi="仿宋" w:cs="仿宋" w:hint="eastAsia"/>
          <w:bCs/>
          <w:color w:val="0000FF"/>
          <w:sz w:val="24"/>
        </w:rPr>
        <w:t>2018年</w:t>
      </w:r>
      <w:r w:rsidR="00543029">
        <w:rPr>
          <w:rFonts w:ascii="仿宋" w:eastAsia="仿宋" w:hAnsi="仿宋" w:cs="仿宋" w:hint="eastAsia"/>
          <w:bCs/>
          <w:color w:val="0000FF"/>
          <w:sz w:val="24"/>
        </w:rPr>
        <w:t>，在规范非标业务，打破刚性兑付的管理思路下，</w:t>
      </w:r>
      <w:r w:rsidRPr="00C34A56">
        <w:rPr>
          <w:rFonts w:ascii="仿宋" w:eastAsia="仿宋" w:hAnsi="仿宋" w:cs="仿宋" w:hint="eastAsia"/>
          <w:bCs/>
          <w:color w:val="0000FF"/>
          <w:sz w:val="24"/>
        </w:rPr>
        <w:t>城投企业</w:t>
      </w:r>
      <w:r w:rsidR="00237B2E">
        <w:rPr>
          <w:rFonts w:ascii="仿宋" w:eastAsia="仿宋" w:hAnsi="仿宋" w:cs="仿宋" w:hint="eastAsia"/>
          <w:bCs/>
          <w:color w:val="0000FF"/>
          <w:sz w:val="24"/>
        </w:rPr>
        <w:t>作</w:t>
      </w:r>
      <w:r w:rsidR="00237B2E">
        <w:rPr>
          <w:rFonts w:ascii="仿宋" w:eastAsia="仿宋" w:hAnsi="仿宋" w:cs="仿宋" w:hint="eastAsia"/>
          <w:bCs/>
          <w:color w:val="0000FF"/>
          <w:sz w:val="24"/>
        </w:rPr>
        <w:lastRenderedPageBreak/>
        <w:t>为非标债务融资的主体，</w:t>
      </w:r>
      <w:r w:rsidRPr="00C34A56">
        <w:rPr>
          <w:rFonts w:ascii="仿宋" w:eastAsia="仿宋" w:hAnsi="仿宋" w:cs="仿宋" w:hint="eastAsia"/>
          <w:bCs/>
          <w:color w:val="0000FF"/>
          <w:sz w:val="24"/>
        </w:rPr>
        <w:t>发生的信用事件较多，</w:t>
      </w:r>
      <w:r w:rsidR="00691A31">
        <w:rPr>
          <w:rFonts w:ascii="仿宋" w:eastAsia="仿宋" w:hAnsi="仿宋" w:cs="仿宋" w:hint="eastAsia"/>
          <w:bCs/>
          <w:color w:val="0000FF"/>
          <w:sz w:val="24"/>
        </w:rPr>
        <w:t>全年共有17家城投企业发生信用事件，</w:t>
      </w:r>
      <w:r w:rsidRPr="00C34A56">
        <w:rPr>
          <w:rFonts w:ascii="仿宋" w:eastAsia="仿宋" w:hAnsi="仿宋" w:cs="仿宋" w:hint="eastAsia"/>
          <w:bCs/>
          <w:color w:val="0000FF"/>
          <w:sz w:val="24"/>
        </w:rPr>
        <w:t>并有1家城投企业发生公开债券延期兑付</w:t>
      </w:r>
      <w:r w:rsidR="00027245">
        <w:rPr>
          <w:rFonts w:ascii="仿宋" w:eastAsia="仿宋" w:hAnsi="仿宋" w:cs="仿宋" w:hint="eastAsia"/>
          <w:bCs/>
          <w:color w:val="0000FF"/>
          <w:sz w:val="24"/>
        </w:rPr>
        <w:t>，该违约公司为新疆建设兵团农第六师</w:t>
      </w:r>
      <w:r w:rsidRPr="00C34A56">
        <w:rPr>
          <w:rFonts w:ascii="仿宋" w:eastAsia="仿宋" w:hAnsi="仿宋" w:cs="仿宋" w:hint="eastAsia"/>
          <w:bCs/>
          <w:color w:val="0000FF"/>
          <w:sz w:val="24"/>
        </w:rPr>
        <w:t>。城</w:t>
      </w:r>
      <w:proofErr w:type="gramStart"/>
      <w:r w:rsidRPr="00C34A56">
        <w:rPr>
          <w:rFonts w:ascii="仿宋" w:eastAsia="仿宋" w:hAnsi="仿宋" w:cs="仿宋" w:hint="eastAsia"/>
          <w:bCs/>
          <w:color w:val="0000FF"/>
          <w:sz w:val="24"/>
        </w:rPr>
        <w:t>投行业</w:t>
      </w:r>
      <w:proofErr w:type="gramEnd"/>
      <w:r w:rsidRPr="00C34A56">
        <w:rPr>
          <w:rFonts w:ascii="仿宋" w:eastAsia="仿宋" w:hAnsi="仿宋" w:cs="仿宋" w:hint="eastAsia"/>
          <w:bCs/>
          <w:color w:val="0000FF"/>
          <w:sz w:val="24"/>
        </w:rPr>
        <w:t>信用事件主要集中在上半年，下半年在政策微调的作用下，城投企业信用风险暴露放缓。</w:t>
      </w:r>
      <w:r w:rsidR="00D91E76">
        <w:rPr>
          <w:rFonts w:ascii="仿宋" w:eastAsia="仿宋" w:hAnsi="仿宋" w:cs="仿宋" w:hint="eastAsia"/>
          <w:bCs/>
          <w:color w:val="0000FF"/>
          <w:sz w:val="24"/>
        </w:rPr>
        <w:t>所以</w:t>
      </w:r>
      <w:r w:rsidR="00D91E76" w:rsidRPr="006C7298">
        <w:rPr>
          <w:rFonts w:ascii="仿宋" w:eastAsia="仿宋" w:hAnsi="仿宋" w:cs="仿宋" w:hint="eastAsia"/>
          <w:bCs/>
          <w:color w:val="0000FF"/>
          <w:sz w:val="24"/>
        </w:rPr>
        <w:t>2018年城投企业主体等级调整方向仍</w:t>
      </w:r>
      <w:r w:rsidR="00D91E76">
        <w:rPr>
          <w:rFonts w:ascii="仿宋" w:eastAsia="仿宋" w:hAnsi="仿宋" w:cs="仿宋" w:hint="eastAsia"/>
          <w:bCs/>
          <w:color w:val="0000FF"/>
          <w:sz w:val="24"/>
        </w:rPr>
        <w:t>为向上</w:t>
      </w:r>
      <w:r w:rsidR="00611D54">
        <w:rPr>
          <w:rFonts w:ascii="仿宋" w:eastAsia="仿宋" w:hAnsi="仿宋" w:cs="仿宋" w:hint="eastAsia"/>
          <w:bCs/>
          <w:color w:val="0000FF"/>
          <w:sz w:val="24"/>
        </w:rPr>
        <w:t>调整为主</w:t>
      </w:r>
      <w:r w:rsidR="00D91E76">
        <w:rPr>
          <w:rFonts w:ascii="仿宋" w:eastAsia="仿宋" w:hAnsi="仿宋" w:cs="仿宋" w:hint="eastAsia"/>
          <w:bCs/>
          <w:color w:val="0000FF"/>
          <w:sz w:val="24"/>
        </w:rPr>
        <w:t>，</w:t>
      </w:r>
      <w:r w:rsidR="00760EDC" w:rsidRPr="00760EDC">
        <w:rPr>
          <w:rFonts w:ascii="仿宋" w:eastAsia="仿宋" w:hAnsi="仿宋" w:cs="仿宋" w:hint="eastAsia"/>
          <w:bCs/>
          <w:color w:val="0000FF"/>
          <w:sz w:val="24"/>
        </w:rPr>
        <w:t>下调次数及</w:t>
      </w:r>
      <w:proofErr w:type="gramStart"/>
      <w:r w:rsidR="00760EDC" w:rsidRPr="00760EDC">
        <w:rPr>
          <w:rFonts w:ascii="仿宋" w:eastAsia="仿宋" w:hAnsi="仿宋" w:cs="仿宋" w:hint="eastAsia"/>
          <w:bCs/>
          <w:color w:val="0000FF"/>
          <w:sz w:val="24"/>
        </w:rPr>
        <w:t>占比较</w:t>
      </w:r>
      <w:proofErr w:type="gramEnd"/>
      <w:r w:rsidR="00760EDC" w:rsidRPr="00760EDC">
        <w:rPr>
          <w:rFonts w:ascii="仿宋" w:eastAsia="仿宋" w:hAnsi="仿宋" w:cs="仿宋" w:hint="eastAsia"/>
          <w:bCs/>
          <w:color w:val="0000FF"/>
          <w:sz w:val="24"/>
        </w:rPr>
        <w:t>同比明显下降</w:t>
      </w:r>
      <w:r w:rsidR="004A5FB2" w:rsidRPr="004A5FB2">
        <w:rPr>
          <w:rFonts w:ascii="仿宋" w:eastAsia="仿宋" w:hAnsi="仿宋" w:cs="仿宋" w:hint="eastAsia"/>
          <w:bCs/>
          <w:color w:val="0000FF"/>
          <w:sz w:val="24"/>
        </w:rPr>
        <w:t>，</w:t>
      </w:r>
      <w:r w:rsidR="00604880">
        <w:rPr>
          <w:rFonts w:ascii="仿宋" w:eastAsia="仿宋" w:hAnsi="仿宋" w:cs="仿宋" w:hint="eastAsia"/>
          <w:bCs/>
          <w:color w:val="0000FF"/>
          <w:sz w:val="24"/>
        </w:rPr>
        <w:t>城投企业共发生级别调整115次，其中上调次数111次，下调次数为4次，</w:t>
      </w:r>
      <w:r w:rsidR="004A5FB2" w:rsidRPr="004A5FB2">
        <w:rPr>
          <w:rFonts w:ascii="仿宋" w:eastAsia="仿宋" w:hAnsi="仿宋" w:cs="仿宋" w:hint="eastAsia"/>
          <w:bCs/>
          <w:color w:val="0000FF"/>
          <w:sz w:val="24"/>
        </w:rPr>
        <w:t>较2017年明显减少，涉及3</w:t>
      </w:r>
      <w:r w:rsidR="00625607">
        <w:rPr>
          <w:rFonts w:ascii="仿宋" w:eastAsia="仿宋" w:hAnsi="仿宋" w:cs="仿宋" w:hint="eastAsia"/>
          <w:bCs/>
          <w:color w:val="0000FF"/>
          <w:sz w:val="24"/>
        </w:rPr>
        <w:t>家城投企业。</w:t>
      </w:r>
    </w:p>
    <w:p w:rsidR="00BC682B" w:rsidRDefault="00BC682B" w:rsidP="0045666C">
      <w:pPr>
        <w:spacing w:line="360" w:lineRule="auto"/>
        <w:rPr>
          <w:rFonts w:ascii="仿宋" w:eastAsia="仿宋" w:hAnsi="仿宋" w:cs="仿宋" w:hint="eastAsia"/>
          <w:bCs/>
          <w:color w:val="0000FF"/>
          <w:sz w:val="24"/>
        </w:rPr>
      </w:pPr>
      <w:r>
        <w:rPr>
          <w:noProof/>
        </w:rPr>
        <w:drawing>
          <wp:inline distT="0" distB="0" distL="0" distR="0" wp14:anchorId="0282B353" wp14:editId="216C5B9B">
            <wp:extent cx="5181600" cy="249110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81600" cy="2491105"/>
                    </a:xfrm>
                    <a:prstGeom prst="rect">
                      <a:avLst/>
                    </a:prstGeom>
                  </pic:spPr>
                </pic:pic>
              </a:graphicData>
            </a:graphic>
          </wp:inline>
        </w:drawing>
      </w:r>
    </w:p>
    <w:p w:rsidR="00543029" w:rsidRPr="009203CA" w:rsidRDefault="00543029">
      <w:pPr>
        <w:spacing w:line="360" w:lineRule="auto"/>
        <w:ind w:firstLineChars="200" w:firstLine="480"/>
        <w:rPr>
          <w:rFonts w:ascii="仿宋" w:eastAsia="仿宋" w:hAnsi="仿宋" w:cs="仿宋" w:hint="eastAsia"/>
          <w:bCs/>
          <w:color w:val="0000FF"/>
          <w:sz w:val="24"/>
        </w:rPr>
      </w:pPr>
      <w:r>
        <w:rPr>
          <w:rFonts w:ascii="仿宋" w:eastAsia="仿宋" w:hAnsi="仿宋" w:cs="仿宋"/>
          <w:bCs/>
          <w:color w:val="0000FF"/>
          <w:sz w:val="24"/>
        </w:rPr>
        <w:t>城投企业级别下调主要受区域发展环境恶化、资产质量较差、偿债能力下降等。</w:t>
      </w:r>
      <w:r w:rsidR="00421621">
        <w:rPr>
          <w:rFonts w:ascii="仿宋" w:eastAsia="仿宋" w:hAnsi="仿宋" w:cs="仿宋"/>
          <w:bCs/>
          <w:color w:val="0000FF"/>
          <w:sz w:val="24"/>
        </w:rPr>
        <w:t>城投企业信用事件在一定程度上加重了市场对于城投企业的担忧情绪，相关事件也受到政府的高度重视，并积极推进债务兑付的协调工作</w:t>
      </w:r>
      <w:r w:rsidR="00F64D5E">
        <w:rPr>
          <w:rFonts w:ascii="仿宋" w:eastAsia="仿宋" w:hAnsi="仿宋" w:cs="仿宋"/>
          <w:bCs/>
          <w:color w:val="0000FF"/>
          <w:sz w:val="24"/>
        </w:rPr>
        <w:t>，避免出现资金断供、工程烂尾等违约事件</w:t>
      </w:r>
      <w:r w:rsidR="00534508">
        <w:rPr>
          <w:rFonts w:ascii="仿宋" w:eastAsia="仿宋" w:hAnsi="仿宋" w:cs="仿宋"/>
          <w:bCs/>
          <w:color w:val="0000FF"/>
          <w:sz w:val="24"/>
        </w:rPr>
        <w:t>，</w:t>
      </w:r>
      <w:proofErr w:type="gramStart"/>
      <w:r w:rsidR="00534508">
        <w:rPr>
          <w:rFonts w:ascii="仿宋" w:eastAsia="仿宋" w:hAnsi="仿宋" w:cs="仿宋"/>
          <w:bCs/>
          <w:color w:val="0000FF"/>
          <w:sz w:val="24"/>
        </w:rPr>
        <w:t>且城投</w:t>
      </w:r>
      <w:proofErr w:type="gramEnd"/>
      <w:r w:rsidR="00534508">
        <w:rPr>
          <w:rFonts w:ascii="仿宋" w:eastAsia="仿宋" w:hAnsi="仿宋" w:cs="仿宋"/>
          <w:bCs/>
          <w:color w:val="0000FF"/>
          <w:sz w:val="24"/>
        </w:rPr>
        <w:t>企业本身违约产品主要为信托、资管、私募都产品，所以城投企业违约比起普通民营企业、国企来说抗风险能力、偿债能力还是较强的</w:t>
      </w:r>
      <w:r w:rsidR="00421621">
        <w:rPr>
          <w:rFonts w:ascii="仿宋" w:eastAsia="仿宋" w:hAnsi="仿宋" w:cs="仿宋"/>
          <w:bCs/>
          <w:color w:val="0000FF"/>
          <w:sz w:val="24"/>
        </w:rPr>
        <w:t>。</w:t>
      </w:r>
      <w:r w:rsidR="00554099">
        <w:rPr>
          <w:rFonts w:ascii="仿宋" w:eastAsia="仿宋" w:hAnsi="仿宋" w:cs="仿宋"/>
          <w:bCs/>
          <w:color w:val="0000FF"/>
          <w:sz w:val="24"/>
        </w:rPr>
        <w:t>只有实力相对比较弱的城投企业才不得已以更高的价格通过非标产品进行</w:t>
      </w:r>
      <w:r w:rsidR="00A76375">
        <w:rPr>
          <w:rFonts w:ascii="仿宋" w:eastAsia="仿宋" w:hAnsi="仿宋" w:cs="仿宋"/>
          <w:bCs/>
          <w:color w:val="0000FF"/>
          <w:sz w:val="24"/>
        </w:rPr>
        <w:t>融资，但经过2018年的政策洗礼，城投通过非标产品融资的通道已基本被政府限制</w:t>
      </w:r>
      <w:r w:rsidR="00387EB2">
        <w:rPr>
          <w:rFonts w:ascii="仿宋" w:eastAsia="仿宋" w:hAnsi="仿宋" w:cs="仿宋"/>
          <w:bCs/>
          <w:color w:val="0000FF"/>
          <w:sz w:val="24"/>
        </w:rPr>
        <w:t>，有效的避免了债务</w:t>
      </w:r>
      <w:r w:rsidR="003A65BC">
        <w:rPr>
          <w:rFonts w:ascii="仿宋" w:eastAsia="仿宋" w:hAnsi="仿宋" w:cs="仿宋"/>
          <w:bCs/>
          <w:color w:val="0000FF"/>
          <w:sz w:val="24"/>
        </w:rPr>
        <w:t>恶化</w:t>
      </w:r>
      <w:bookmarkStart w:id="0" w:name="_GoBack"/>
      <w:bookmarkEnd w:id="0"/>
      <w:r w:rsidR="00A76375">
        <w:rPr>
          <w:rFonts w:ascii="仿宋" w:eastAsia="仿宋" w:hAnsi="仿宋" w:cs="仿宋"/>
          <w:bCs/>
          <w:color w:val="0000FF"/>
          <w:sz w:val="24"/>
        </w:rPr>
        <w:t>。</w:t>
      </w:r>
    </w:p>
    <w:p w:rsidR="0033212D" w:rsidRDefault="00420541">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4、城</w:t>
      </w:r>
      <w:proofErr w:type="gramStart"/>
      <w:r>
        <w:rPr>
          <w:rFonts w:ascii="仿宋" w:eastAsia="仿宋" w:hAnsi="仿宋" w:cs="仿宋" w:hint="eastAsia"/>
          <w:b/>
          <w:color w:val="000000"/>
          <w:sz w:val="24"/>
        </w:rPr>
        <w:t>投类型</w:t>
      </w:r>
      <w:proofErr w:type="gramEnd"/>
      <w:r>
        <w:rPr>
          <w:rFonts w:ascii="仿宋" w:eastAsia="仿宋" w:hAnsi="仿宋" w:cs="仿宋" w:hint="eastAsia"/>
          <w:b/>
          <w:color w:val="000000"/>
          <w:sz w:val="24"/>
        </w:rPr>
        <w:t>公司后期须关专注的风险点</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（1）内外部宏观经经济下行、财政收入下降</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地方经济财政状况是影响城投公司信用基本面的主要因素，但2019年国内经济形势仍然不乐观，经济增长下行和财政收入增速下降将可能是大概率事件。制造业PMI2018年12月降为49.4%，为2016年7月以来首次跌破荣枯线，显示制造业景气</w:t>
      </w:r>
      <w:proofErr w:type="gramStart"/>
      <w:r>
        <w:rPr>
          <w:rFonts w:ascii="仿宋" w:eastAsia="仿宋" w:hAnsi="仿宋" w:cs="仿宋" w:hint="eastAsia"/>
          <w:bCs/>
          <w:color w:val="000000"/>
          <w:sz w:val="24"/>
        </w:rPr>
        <w:t>度趋势</w:t>
      </w:r>
      <w:proofErr w:type="gramEnd"/>
      <w:r>
        <w:rPr>
          <w:rFonts w:ascii="仿宋" w:eastAsia="仿宋" w:hAnsi="仿宋" w:cs="仿宋" w:hint="eastAsia"/>
          <w:bCs/>
          <w:color w:val="000000"/>
          <w:sz w:val="24"/>
        </w:rPr>
        <w:t>一直没有扭转。从财政收入增长来看，由</w:t>
      </w:r>
      <w:r>
        <w:rPr>
          <w:rFonts w:ascii="仿宋" w:eastAsia="仿宋" w:hAnsi="仿宋" w:cs="仿宋" w:hint="eastAsia"/>
          <w:bCs/>
          <w:color w:val="000000"/>
          <w:sz w:val="24"/>
        </w:rPr>
        <w:lastRenderedPageBreak/>
        <w:t>于降税减负，经济下行，2019年财政收入增速将会显著下降。</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从外部环境来看，美国贸易政策对世界经济的影响日益显现，美国自身经济增长不确定增多、欧洲日本经济增速已出现下滑，全球经济可能重新陷入低迷期。在此内外因素之下，2019年我国经济财政增长不容乐观，地方经济财政增长也将会明显受整个宏观经济状况影响。</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（2）土地出让收入下降</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土地出让收入是地方政府及城投企业重要的收入来源。2018年国内土地市场已经出现了遇冷迹象，受房地产市场影响，</w:t>
      </w:r>
      <w:proofErr w:type="gramStart"/>
      <w:r>
        <w:rPr>
          <w:rFonts w:ascii="仿宋" w:eastAsia="仿宋" w:hAnsi="仿宋" w:cs="仿宋" w:hint="eastAsia"/>
          <w:bCs/>
          <w:color w:val="000000"/>
          <w:sz w:val="24"/>
        </w:rPr>
        <w:t>房企对</w:t>
      </w:r>
      <w:proofErr w:type="gramEnd"/>
      <w:r>
        <w:rPr>
          <w:rFonts w:ascii="仿宋" w:eastAsia="仿宋" w:hAnsi="仿宋" w:cs="仿宋" w:hint="eastAsia"/>
          <w:bCs/>
          <w:color w:val="000000"/>
          <w:sz w:val="24"/>
        </w:rPr>
        <w:t>拿地需求的下降，预计城投公司2019年土地出让收入将会下降，从而影响偿债能力。</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（3）监管政策影响，</w:t>
      </w:r>
      <w:proofErr w:type="gramStart"/>
      <w:r>
        <w:rPr>
          <w:rFonts w:ascii="仿宋" w:eastAsia="仿宋" w:hAnsi="仿宋" w:cs="仿宋" w:hint="eastAsia"/>
          <w:bCs/>
          <w:color w:val="000000"/>
          <w:sz w:val="24"/>
        </w:rPr>
        <w:t>城投再融资</w:t>
      </w:r>
      <w:proofErr w:type="gramEnd"/>
      <w:r>
        <w:rPr>
          <w:rFonts w:ascii="仿宋" w:eastAsia="仿宋" w:hAnsi="仿宋" w:cs="仿宋" w:hint="eastAsia"/>
          <w:bCs/>
          <w:color w:val="000000"/>
          <w:sz w:val="24"/>
        </w:rPr>
        <w:t>能力受限</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虽然2018年10月国务院办公厅印发的《关于保持基础设施领域补短板力度的指导意见》，对城投公司融资出现边际放松，但在规范地方政府违规违法举债、遏制隐性债务增长之下，监管并未出现大的放松，同时，对信托等金融理财产品监管的加强，城投公司再融资能力受到限制。由于城投公司普遍债务负担较重，如果再融资能力受到严重约束，城投公司流动性风险上升，可能导致部分城</w:t>
      </w:r>
      <w:proofErr w:type="gramStart"/>
      <w:r>
        <w:rPr>
          <w:rFonts w:ascii="仿宋" w:eastAsia="仿宋" w:hAnsi="仿宋" w:cs="仿宋" w:hint="eastAsia"/>
          <w:bCs/>
          <w:color w:val="000000"/>
          <w:sz w:val="24"/>
        </w:rPr>
        <w:t>投债风险</w:t>
      </w:r>
      <w:proofErr w:type="gramEnd"/>
      <w:r>
        <w:rPr>
          <w:rFonts w:ascii="仿宋" w:eastAsia="仿宋" w:hAnsi="仿宋" w:cs="仿宋" w:hint="eastAsia"/>
          <w:bCs/>
          <w:color w:val="000000"/>
          <w:sz w:val="24"/>
        </w:rPr>
        <w:t>暴露。</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总体来看，城投信仰已逐渐发生变化，可能短期内看不太显著，但长期</w:t>
      </w:r>
      <w:proofErr w:type="gramStart"/>
      <w:r>
        <w:rPr>
          <w:rFonts w:ascii="仿宋" w:eastAsia="仿宋" w:hAnsi="仿宋" w:cs="仿宋" w:hint="eastAsia"/>
          <w:bCs/>
          <w:color w:val="000000"/>
          <w:sz w:val="24"/>
        </w:rPr>
        <w:t>来看城</w:t>
      </w:r>
      <w:proofErr w:type="gramEnd"/>
      <w:r>
        <w:rPr>
          <w:rFonts w:ascii="仿宋" w:eastAsia="仿宋" w:hAnsi="仿宋" w:cs="仿宋" w:hint="eastAsia"/>
          <w:bCs/>
          <w:color w:val="000000"/>
          <w:sz w:val="24"/>
        </w:rPr>
        <w:t>投信仰终归会消失。根源既来自于地方政府对城投公司的定位，也来自于城投公司自身的变化。</w:t>
      </w:r>
    </w:p>
    <w:p w:rsidR="0033212D" w:rsidRDefault="0033212D">
      <w:pPr>
        <w:spacing w:line="360" w:lineRule="auto"/>
        <w:ind w:firstLineChars="200" w:firstLine="480"/>
        <w:rPr>
          <w:rFonts w:ascii="仿宋" w:eastAsia="仿宋" w:hAnsi="仿宋" w:cs="仿宋"/>
          <w:bCs/>
          <w:color w:val="000000"/>
          <w:sz w:val="24"/>
        </w:rPr>
      </w:pPr>
    </w:p>
    <w:p w:rsidR="0033212D" w:rsidRDefault="00420541">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四、2019年信用风险趋势分析</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2019年我国“经济运行稳中有变、变中有忧，外部环境复杂严峻，经济面临下行压力”，“稳”字仍将是2019年经济工作重点，在“六稳”基调下去杠杆调整为稳杠杆，结构性去杠杆依然是主调，确保经济运行在合理区间是国家发展的主要目标，宏观政策将强化逆周期调节，稳健的货币政策将为金融市场的发展提供充裕的资金面基础，优化融资环境支持实体经济，平衡地方债务规模与支持基建补短板和加强风险管控的关系将为重点。</w:t>
      </w:r>
    </w:p>
    <w:p w:rsidR="0033212D" w:rsidRDefault="00420541">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rPr>
        <w:t>1、经济基本面：</w:t>
      </w:r>
      <w:r>
        <w:rPr>
          <w:rFonts w:ascii="仿宋" w:eastAsia="仿宋" w:hAnsi="仿宋" w:cs="仿宋" w:hint="eastAsia"/>
          <w:bCs/>
          <w:color w:val="000000"/>
          <w:sz w:val="24"/>
        </w:rPr>
        <w:t>经济周期对信用风险有基础性的影响，企业违约情况受经济环境的影响较明显。在国内外经济增速回落的背景下，企业将面临更</w:t>
      </w:r>
      <w:r>
        <w:rPr>
          <w:rFonts w:ascii="仿宋" w:eastAsia="仿宋" w:hAnsi="仿宋" w:cs="仿宋" w:hint="eastAsia"/>
          <w:bCs/>
          <w:color w:val="000000"/>
          <w:sz w:val="24"/>
        </w:rPr>
        <w:lastRenderedPageBreak/>
        <w:t>大的生产经营压力，经营风险增大，从债券到期量来看，2019年主要信用债到期量较2018年变化不大，偿债压力仍然较大。</w:t>
      </w:r>
    </w:p>
    <w:p w:rsidR="0033212D" w:rsidRDefault="00420541">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rPr>
        <w:t>2、金融政策：</w:t>
      </w:r>
      <w:r>
        <w:rPr>
          <w:rFonts w:ascii="仿宋" w:eastAsia="仿宋" w:hAnsi="仿宋" w:cs="仿宋" w:hint="eastAsia"/>
          <w:bCs/>
          <w:color w:val="000000"/>
          <w:sz w:val="24"/>
        </w:rPr>
        <w:t>经济去杠杆和金融强监管仍将持续，严监管下部分隐藏的信用风险将逐步暴露。但在经济面临下行压力背景下，融资环境继续收紧空间有限，中央经济工作会议明确提出继续实施稳健的货币政策，保持流动性合理充裕，改善货币政策传导机制，2018年三季度以来监管层陆续出台了一系列鼓励支持民企、中小企业融资的措施，有利于优化民营企业融资环境，较2018年将有所改善，但应关注短期内要改变市场对民企的风险</w:t>
      </w:r>
      <w:proofErr w:type="gramStart"/>
      <w:r>
        <w:rPr>
          <w:rFonts w:ascii="仿宋" w:eastAsia="仿宋" w:hAnsi="仿宋" w:cs="仿宋" w:hint="eastAsia"/>
          <w:bCs/>
          <w:color w:val="000000"/>
          <w:sz w:val="24"/>
        </w:rPr>
        <w:t>偏好仍</w:t>
      </w:r>
      <w:proofErr w:type="gramEnd"/>
      <w:r>
        <w:rPr>
          <w:rFonts w:ascii="仿宋" w:eastAsia="仿宋" w:hAnsi="仿宋" w:cs="仿宋" w:hint="eastAsia"/>
          <w:bCs/>
          <w:color w:val="000000"/>
          <w:sz w:val="24"/>
        </w:rPr>
        <w:t>较难。</w:t>
      </w:r>
    </w:p>
    <w:p w:rsidR="0033212D" w:rsidRDefault="00420541">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rPr>
        <w:t>3、民营企业：</w:t>
      </w:r>
      <w:r>
        <w:rPr>
          <w:rFonts w:ascii="仿宋" w:eastAsia="仿宋" w:hAnsi="仿宋" w:cs="仿宋" w:hint="eastAsia"/>
          <w:bCs/>
          <w:color w:val="000000"/>
          <w:sz w:val="24"/>
        </w:rPr>
        <w:t>尽管各监管部门和地方政府密集出台各项政策支持民企发展和民企融资，但应关注，政策</w:t>
      </w:r>
      <w:proofErr w:type="gramStart"/>
      <w:r>
        <w:rPr>
          <w:rFonts w:ascii="仿宋" w:eastAsia="仿宋" w:hAnsi="仿宋" w:cs="仿宋" w:hint="eastAsia"/>
          <w:bCs/>
          <w:color w:val="000000"/>
          <w:sz w:val="24"/>
        </w:rPr>
        <w:t>纾</w:t>
      </w:r>
      <w:proofErr w:type="gramEnd"/>
      <w:r>
        <w:rPr>
          <w:rFonts w:ascii="仿宋" w:eastAsia="仿宋" w:hAnsi="仿宋" w:cs="仿宋" w:hint="eastAsia"/>
          <w:bCs/>
          <w:color w:val="000000"/>
          <w:sz w:val="24"/>
        </w:rPr>
        <w:t>困指向的是那些本身质地优良、暂时陷入流动性困境的民营企业，只能帮助缓解其流动性压力，债务的偿还长期来看仍然要依靠企业自身经营表现和现金流情况。</w:t>
      </w:r>
    </w:p>
    <w:p w:rsidR="0033212D" w:rsidRDefault="0042054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由于民营企业受外部经济波动和行业因素影响较大，加上民企自身存在公司治理方面的缺陷，一些财务状况较差的中低信用等级民营企业容易发生资金</w:t>
      </w:r>
      <w:proofErr w:type="gramStart"/>
      <w:r>
        <w:rPr>
          <w:rFonts w:ascii="仿宋" w:eastAsia="仿宋" w:hAnsi="仿宋" w:cs="仿宋" w:hint="eastAsia"/>
          <w:bCs/>
          <w:color w:val="000000"/>
          <w:sz w:val="24"/>
        </w:rPr>
        <w:t>链紧张</w:t>
      </w:r>
      <w:proofErr w:type="gramEnd"/>
      <w:r>
        <w:rPr>
          <w:rFonts w:ascii="仿宋" w:eastAsia="仿宋" w:hAnsi="仿宋" w:cs="仿宋" w:hint="eastAsia"/>
          <w:bCs/>
          <w:color w:val="000000"/>
          <w:sz w:val="24"/>
        </w:rPr>
        <w:t>甚至断裂的情况。2019年仍需要警惕信用资质较弱、存在激进投资扩张以及受负面事件影响较大等的民营企业信用风险。</w:t>
      </w:r>
    </w:p>
    <w:p w:rsidR="0033212D" w:rsidRDefault="00420541">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rPr>
        <w:t>4、城投企业：</w:t>
      </w:r>
      <w:r>
        <w:rPr>
          <w:rFonts w:ascii="仿宋" w:eastAsia="仿宋" w:hAnsi="仿宋" w:cs="仿宋" w:hint="eastAsia"/>
          <w:bCs/>
          <w:color w:val="000000"/>
          <w:sz w:val="24"/>
        </w:rPr>
        <w:t>城投企业信用分化将加剧，经济发展稳定、信贷环境良好、转型条件较好的城投公司，信用基本面将得到支撑；区域经济发展相对落后、转型遇到阻碍、短期流动性不强、或有债务风险大的城投企业的信用风险较大。</w:t>
      </w:r>
    </w:p>
    <w:p w:rsidR="0033212D" w:rsidRDefault="00420541">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rPr>
        <w:t>5、行业趋势：</w:t>
      </w:r>
      <w:r>
        <w:rPr>
          <w:rFonts w:ascii="仿宋" w:eastAsia="仿宋" w:hAnsi="仿宋" w:cs="仿宋" w:hint="eastAsia"/>
          <w:bCs/>
          <w:color w:val="000000"/>
          <w:sz w:val="24"/>
        </w:rPr>
        <w:t>关注产能过剩行业及对美市场依赖程度较高及加征关税主要集中的行业，如化工、电力、电子信息、机械等行业的信用风险趋势变化。</w:t>
      </w:r>
    </w:p>
    <w:p w:rsidR="0033212D" w:rsidRDefault="00420541">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rPr>
        <w:t>6、区域差异：</w:t>
      </w:r>
      <w:r>
        <w:rPr>
          <w:rFonts w:ascii="仿宋" w:eastAsia="仿宋" w:hAnsi="仿宋" w:cs="仿宋" w:hint="eastAsia"/>
          <w:bCs/>
          <w:color w:val="000000"/>
          <w:sz w:val="24"/>
        </w:rPr>
        <w:t>关注内蒙、云南、贵州、东北等2018年发生违约事件较频繁的经济落后地区的信用风险，防范</w:t>
      </w:r>
      <w:proofErr w:type="gramStart"/>
      <w:r>
        <w:rPr>
          <w:rFonts w:ascii="仿宋" w:eastAsia="仿宋" w:hAnsi="仿宋" w:cs="仿宋" w:hint="eastAsia"/>
          <w:bCs/>
          <w:color w:val="000000"/>
          <w:sz w:val="24"/>
        </w:rPr>
        <w:t>弱财政</w:t>
      </w:r>
      <w:proofErr w:type="gramEnd"/>
      <w:r>
        <w:rPr>
          <w:rFonts w:ascii="仿宋" w:eastAsia="仿宋" w:hAnsi="仿宋" w:cs="仿宋" w:hint="eastAsia"/>
          <w:bCs/>
          <w:color w:val="000000"/>
          <w:sz w:val="24"/>
        </w:rPr>
        <w:t xml:space="preserve">及地方政府债务规模过高等层级较低地区的风险。 </w:t>
      </w:r>
    </w:p>
    <w:p w:rsidR="0033212D" w:rsidRDefault="0033212D">
      <w:pPr>
        <w:rPr>
          <w:rFonts w:ascii="宋体" w:eastAsia="宋体" w:hAnsi="宋体"/>
          <w:color w:val="000000"/>
          <w:sz w:val="23"/>
        </w:rPr>
      </w:pPr>
    </w:p>
    <w:p w:rsidR="0033212D" w:rsidRDefault="0033212D">
      <w:pPr>
        <w:jc w:val="left"/>
        <w:rPr>
          <w:rFonts w:ascii="宋体" w:eastAsia="宋体" w:hAnsi="宋体"/>
          <w:color w:val="000000"/>
        </w:rPr>
      </w:pPr>
    </w:p>
    <w:sectPr w:rsidR="0033212D" w:rsidSect="005A754E">
      <w:pgSz w:w="11906" w:h="16838"/>
      <w:pgMar w:top="1440" w:right="2267" w:bottom="1440" w:left="184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DAE85E"/>
    <w:multiLevelType w:val="singleLevel"/>
    <w:tmpl w:val="C2DAE85E"/>
    <w:lvl w:ilvl="0">
      <w:start w:val="1"/>
      <w:numFmt w:val="decimal"/>
      <w:suff w:val="nothing"/>
      <w:lvlText w:val="（%1）"/>
      <w:lvlJc w:val="left"/>
    </w:lvl>
  </w:abstractNum>
  <w:abstractNum w:abstractNumId="1">
    <w:nsid w:val="49C5BA11"/>
    <w:multiLevelType w:val="singleLevel"/>
    <w:tmpl w:val="49C5BA11"/>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657"/>
    <w:rsid w:val="00017FBE"/>
    <w:rsid w:val="00023E64"/>
    <w:rsid w:val="00027245"/>
    <w:rsid w:val="00030BD5"/>
    <w:rsid w:val="00035B39"/>
    <w:rsid w:val="00037296"/>
    <w:rsid w:val="00062017"/>
    <w:rsid w:val="00084B34"/>
    <w:rsid w:val="000B6602"/>
    <w:rsid w:val="000C2D71"/>
    <w:rsid w:val="000D7F7E"/>
    <w:rsid w:val="00125E85"/>
    <w:rsid w:val="001439E5"/>
    <w:rsid w:val="001447F3"/>
    <w:rsid w:val="0014503B"/>
    <w:rsid w:val="00172A27"/>
    <w:rsid w:val="001E2183"/>
    <w:rsid w:val="0023274D"/>
    <w:rsid w:val="00237B2E"/>
    <w:rsid w:val="002C16CA"/>
    <w:rsid w:val="002E79D1"/>
    <w:rsid w:val="002F4C16"/>
    <w:rsid w:val="00300863"/>
    <w:rsid w:val="00300A34"/>
    <w:rsid w:val="0033212D"/>
    <w:rsid w:val="003446E3"/>
    <w:rsid w:val="00361FE0"/>
    <w:rsid w:val="003649A9"/>
    <w:rsid w:val="0037519C"/>
    <w:rsid w:val="003816AD"/>
    <w:rsid w:val="00387EB2"/>
    <w:rsid w:val="00397C95"/>
    <w:rsid w:val="003A65BC"/>
    <w:rsid w:val="003C33FD"/>
    <w:rsid w:val="003D4320"/>
    <w:rsid w:val="00420541"/>
    <w:rsid w:val="00421621"/>
    <w:rsid w:val="004252B1"/>
    <w:rsid w:val="0043669C"/>
    <w:rsid w:val="00437147"/>
    <w:rsid w:val="0045666C"/>
    <w:rsid w:val="00457E78"/>
    <w:rsid w:val="004612C6"/>
    <w:rsid w:val="00466C7D"/>
    <w:rsid w:val="0046753F"/>
    <w:rsid w:val="004707B5"/>
    <w:rsid w:val="00475461"/>
    <w:rsid w:val="004A5FB2"/>
    <w:rsid w:val="004A7041"/>
    <w:rsid w:val="004B18ED"/>
    <w:rsid w:val="004D1259"/>
    <w:rsid w:val="00502C44"/>
    <w:rsid w:val="005102AA"/>
    <w:rsid w:val="00516FF1"/>
    <w:rsid w:val="00521720"/>
    <w:rsid w:val="00531F4C"/>
    <w:rsid w:val="00534508"/>
    <w:rsid w:val="00543029"/>
    <w:rsid w:val="00554060"/>
    <w:rsid w:val="00554099"/>
    <w:rsid w:val="0055772C"/>
    <w:rsid w:val="005A754E"/>
    <w:rsid w:val="005C0D46"/>
    <w:rsid w:val="005D02F2"/>
    <w:rsid w:val="00604880"/>
    <w:rsid w:val="00611D54"/>
    <w:rsid w:val="00625607"/>
    <w:rsid w:val="00660366"/>
    <w:rsid w:val="00690906"/>
    <w:rsid w:val="00691A31"/>
    <w:rsid w:val="006965D2"/>
    <w:rsid w:val="006A1B47"/>
    <w:rsid w:val="006B0A53"/>
    <w:rsid w:val="006C3084"/>
    <w:rsid w:val="006C7298"/>
    <w:rsid w:val="006F0AF0"/>
    <w:rsid w:val="00714F1B"/>
    <w:rsid w:val="00720FD5"/>
    <w:rsid w:val="00760EDC"/>
    <w:rsid w:val="00782021"/>
    <w:rsid w:val="00794536"/>
    <w:rsid w:val="00794AF7"/>
    <w:rsid w:val="00797353"/>
    <w:rsid w:val="00810EE1"/>
    <w:rsid w:val="0084377E"/>
    <w:rsid w:val="00863444"/>
    <w:rsid w:val="00864A56"/>
    <w:rsid w:val="0089509F"/>
    <w:rsid w:val="008A25F0"/>
    <w:rsid w:val="008B55A3"/>
    <w:rsid w:val="008D7B56"/>
    <w:rsid w:val="009203CA"/>
    <w:rsid w:val="00956ABE"/>
    <w:rsid w:val="00965EF8"/>
    <w:rsid w:val="009B30A3"/>
    <w:rsid w:val="009C41FF"/>
    <w:rsid w:val="009F54E0"/>
    <w:rsid w:val="00A04A58"/>
    <w:rsid w:val="00A44D25"/>
    <w:rsid w:val="00A65F9E"/>
    <w:rsid w:val="00A679C3"/>
    <w:rsid w:val="00A71CC7"/>
    <w:rsid w:val="00A74A10"/>
    <w:rsid w:val="00A76375"/>
    <w:rsid w:val="00AA1FD3"/>
    <w:rsid w:val="00AE3507"/>
    <w:rsid w:val="00B13214"/>
    <w:rsid w:val="00B24C14"/>
    <w:rsid w:val="00B2595C"/>
    <w:rsid w:val="00B649D4"/>
    <w:rsid w:val="00BB0A51"/>
    <w:rsid w:val="00BC682B"/>
    <w:rsid w:val="00BC7769"/>
    <w:rsid w:val="00BD1FEE"/>
    <w:rsid w:val="00BE0D68"/>
    <w:rsid w:val="00BE4E55"/>
    <w:rsid w:val="00BF1B48"/>
    <w:rsid w:val="00C16C59"/>
    <w:rsid w:val="00C34A56"/>
    <w:rsid w:val="00C448D4"/>
    <w:rsid w:val="00C47C03"/>
    <w:rsid w:val="00C72EA9"/>
    <w:rsid w:val="00CA3245"/>
    <w:rsid w:val="00CA6BF9"/>
    <w:rsid w:val="00CB66E1"/>
    <w:rsid w:val="00CC12AF"/>
    <w:rsid w:val="00CF783C"/>
    <w:rsid w:val="00D26AE0"/>
    <w:rsid w:val="00D65050"/>
    <w:rsid w:val="00D91E76"/>
    <w:rsid w:val="00DA0A4B"/>
    <w:rsid w:val="00DC08DF"/>
    <w:rsid w:val="00DD2A59"/>
    <w:rsid w:val="00E05A0A"/>
    <w:rsid w:val="00E16104"/>
    <w:rsid w:val="00E51F86"/>
    <w:rsid w:val="00E56673"/>
    <w:rsid w:val="00E970D2"/>
    <w:rsid w:val="00EA31FE"/>
    <w:rsid w:val="00F27323"/>
    <w:rsid w:val="00F64D5E"/>
    <w:rsid w:val="00FB4F4F"/>
    <w:rsid w:val="00FD4170"/>
    <w:rsid w:val="00FE4432"/>
    <w:rsid w:val="00FE4EF1"/>
    <w:rsid w:val="01060FD7"/>
    <w:rsid w:val="0118101A"/>
    <w:rsid w:val="02A752F5"/>
    <w:rsid w:val="034B789D"/>
    <w:rsid w:val="03B33CD6"/>
    <w:rsid w:val="048671C9"/>
    <w:rsid w:val="04D542CA"/>
    <w:rsid w:val="06D27DBD"/>
    <w:rsid w:val="06FF4F40"/>
    <w:rsid w:val="07ED0A2E"/>
    <w:rsid w:val="090F7537"/>
    <w:rsid w:val="091360EB"/>
    <w:rsid w:val="09201DAB"/>
    <w:rsid w:val="095E0880"/>
    <w:rsid w:val="09AC476E"/>
    <w:rsid w:val="09F3324B"/>
    <w:rsid w:val="0AE123ED"/>
    <w:rsid w:val="0B6651CC"/>
    <w:rsid w:val="0B862DFF"/>
    <w:rsid w:val="0C1C1FA0"/>
    <w:rsid w:val="0C283D35"/>
    <w:rsid w:val="0C5C5126"/>
    <w:rsid w:val="0D1254ED"/>
    <w:rsid w:val="0D486C81"/>
    <w:rsid w:val="0DD41EC3"/>
    <w:rsid w:val="0DF56BE9"/>
    <w:rsid w:val="0E006247"/>
    <w:rsid w:val="0E913F70"/>
    <w:rsid w:val="0F6843E2"/>
    <w:rsid w:val="0FD32529"/>
    <w:rsid w:val="0FFF2ECD"/>
    <w:rsid w:val="10212337"/>
    <w:rsid w:val="11FF52C6"/>
    <w:rsid w:val="12286CA9"/>
    <w:rsid w:val="1234657A"/>
    <w:rsid w:val="123A0F08"/>
    <w:rsid w:val="12F37E00"/>
    <w:rsid w:val="132D50FB"/>
    <w:rsid w:val="136D53AD"/>
    <w:rsid w:val="13B70B68"/>
    <w:rsid w:val="148D2660"/>
    <w:rsid w:val="150E516B"/>
    <w:rsid w:val="153C196B"/>
    <w:rsid w:val="1805442B"/>
    <w:rsid w:val="187C6AAE"/>
    <w:rsid w:val="190747DD"/>
    <w:rsid w:val="194331A9"/>
    <w:rsid w:val="198278A5"/>
    <w:rsid w:val="19864FAB"/>
    <w:rsid w:val="19A12FAC"/>
    <w:rsid w:val="1A105684"/>
    <w:rsid w:val="1A60712F"/>
    <w:rsid w:val="1A924331"/>
    <w:rsid w:val="1A9A160A"/>
    <w:rsid w:val="1B5C185B"/>
    <w:rsid w:val="1B656C62"/>
    <w:rsid w:val="1B733260"/>
    <w:rsid w:val="1B842187"/>
    <w:rsid w:val="1BA038CF"/>
    <w:rsid w:val="1BB30E82"/>
    <w:rsid w:val="1BE06191"/>
    <w:rsid w:val="1C311F48"/>
    <w:rsid w:val="1CC7505B"/>
    <w:rsid w:val="1E0025A1"/>
    <w:rsid w:val="1E8D12DC"/>
    <w:rsid w:val="1EE5443B"/>
    <w:rsid w:val="1F1F2B52"/>
    <w:rsid w:val="1F48258C"/>
    <w:rsid w:val="20D95C7E"/>
    <w:rsid w:val="20DA7E70"/>
    <w:rsid w:val="218852DC"/>
    <w:rsid w:val="21D8452C"/>
    <w:rsid w:val="221801EE"/>
    <w:rsid w:val="222C2F62"/>
    <w:rsid w:val="224926DC"/>
    <w:rsid w:val="226F6FDF"/>
    <w:rsid w:val="22711668"/>
    <w:rsid w:val="22D66C05"/>
    <w:rsid w:val="24352383"/>
    <w:rsid w:val="246C55F9"/>
    <w:rsid w:val="24884C6B"/>
    <w:rsid w:val="25256DFB"/>
    <w:rsid w:val="2567721A"/>
    <w:rsid w:val="25B93B5D"/>
    <w:rsid w:val="26026318"/>
    <w:rsid w:val="26104DFD"/>
    <w:rsid w:val="269F0E02"/>
    <w:rsid w:val="27100971"/>
    <w:rsid w:val="27102E9B"/>
    <w:rsid w:val="272D710D"/>
    <w:rsid w:val="278E1F16"/>
    <w:rsid w:val="27FD6A6C"/>
    <w:rsid w:val="2A335E8C"/>
    <w:rsid w:val="2A5279FC"/>
    <w:rsid w:val="2A6F0F02"/>
    <w:rsid w:val="2B0535C7"/>
    <w:rsid w:val="2D476A77"/>
    <w:rsid w:val="2E001594"/>
    <w:rsid w:val="2E185B60"/>
    <w:rsid w:val="2E4B2630"/>
    <w:rsid w:val="2E62144F"/>
    <w:rsid w:val="2E6D34C8"/>
    <w:rsid w:val="2E9A252B"/>
    <w:rsid w:val="2EA16CF0"/>
    <w:rsid w:val="2EF30066"/>
    <w:rsid w:val="2FA868C3"/>
    <w:rsid w:val="303D36F9"/>
    <w:rsid w:val="303E28ED"/>
    <w:rsid w:val="30AA0888"/>
    <w:rsid w:val="317631F6"/>
    <w:rsid w:val="3185113F"/>
    <w:rsid w:val="31AB68EC"/>
    <w:rsid w:val="31B323F1"/>
    <w:rsid w:val="31C15BAE"/>
    <w:rsid w:val="32C00BFE"/>
    <w:rsid w:val="339214E0"/>
    <w:rsid w:val="33BA78B5"/>
    <w:rsid w:val="33BC1F6C"/>
    <w:rsid w:val="33CC79CC"/>
    <w:rsid w:val="34250C1E"/>
    <w:rsid w:val="34B04798"/>
    <w:rsid w:val="34F430E1"/>
    <w:rsid w:val="35925394"/>
    <w:rsid w:val="360A1ACA"/>
    <w:rsid w:val="366C1C02"/>
    <w:rsid w:val="36B353DC"/>
    <w:rsid w:val="36F45600"/>
    <w:rsid w:val="370B5F22"/>
    <w:rsid w:val="372920BE"/>
    <w:rsid w:val="379A33A5"/>
    <w:rsid w:val="37D76D17"/>
    <w:rsid w:val="388629CB"/>
    <w:rsid w:val="38CA2C77"/>
    <w:rsid w:val="395D294B"/>
    <w:rsid w:val="39B60FD5"/>
    <w:rsid w:val="3AD30AD7"/>
    <w:rsid w:val="3B44193E"/>
    <w:rsid w:val="3BB92F5F"/>
    <w:rsid w:val="3E997CDA"/>
    <w:rsid w:val="3F102B00"/>
    <w:rsid w:val="3F565DF0"/>
    <w:rsid w:val="3FDD21AF"/>
    <w:rsid w:val="40C021CD"/>
    <w:rsid w:val="40CF3E76"/>
    <w:rsid w:val="41493BEE"/>
    <w:rsid w:val="418508A4"/>
    <w:rsid w:val="41B509AE"/>
    <w:rsid w:val="41C42652"/>
    <w:rsid w:val="41D54172"/>
    <w:rsid w:val="41FD1AD3"/>
    <w:rsid w:val="42CA6715"/>
    <w:rsid w:val="42CB593F"/>
    <w:rsid w:val="433D736E"/>
    <w:rsid w:val="43DC223B"/>
    <w:rsid w:val="44104684"/>
    <w:rsid w:val="44B5117D"/>
    <w:rsid w:val="44BD616F"/>
    <w:rsid w:val="44C253D5"/>
    <w:rsid w:val="45252AEC"/>
    <w:rsid w:val="45A1315C"/>
    <w:rsid w:val="46663E81"/>
    <w:rsid w:val="47DE7591"/>
    <w:rsid w:val="480C3A12"/>
    <w:rsid w:val="48421533"/>
    <w:rsid w:val="48431DA3"/>
    <w:rsid w:val="48A72695"/>
    <w:rsid w:val="4A0C475B"/>
    <w:rsid w:val="4A502338"/>
    <w:rsid w:val="4A8F4F2F"/>
    <w:rsid w:val="4B390A34"/>
    <w:rsid w:val="4B540402"/>
    <w:rsid w:val="4B7C561D"/>
    <w:rsid w:val="4BD834A8"/>
    <w:rsid w:val="4D007DAB"/>
    <w:rsid w:val="4D96567E"/>
    <w:rsid w:val="4E2C21EB"/>
    <w:rsid w:val="4ED754AF"/>
    <w:rsid w:val="4F01280E"/>
    <w:rsid w:val="4F1401B6"/>
    <w:rsid w:val="4F3B78C0"/>
    <w:rsid w:val="4F3F4E9B"/>
    <w:rsid w:val="4F41540C"/>
    <w:rsid w:val="4FE0674C"/>
    <w:rsid w:val="4FE96C16"/>
    <w:rsid w:val="4FF93E31"/>
    <w:rsid w:val="501157F6"/>
    <w:rsid w:val="50D01478"/>
    <w:rsid w:val="50D435E7"/>
    <w:rsid w:val="51534373"/>
    <w:rsid w:val="51D342D7"/>
    <w:rsid w:val="525D5C28"/>
    <w:rsid w:val="52B5130E"/>
    <w:rsid w:val="539A274A"/>
    <w:rsid w:val="53CC57C2"/>
    <w:rsid w:val="53D17D08"/>
    <w:rsid w:val="5410554E"/>
    <w:rsid w:val="543D5E10"/>
    <w:rsid w:val="54866D5E"/>
    <w:rsid w:val="548F2021"/>
    <w:rsid w:val="54A61C5D"/>
    <w:rsid w:val="5583405C"/>
    <w:rsid w:val="55A53827"/>
    <w:rsid w:val="55C10A30"/>
    <w:rsid w:val="56195829"/>
    <w:rsid w:val="562E7F36"/>
    <w:rsid w:val="5688019C"/>
    <w:rsid w:val="56A843F7"/>
    <w:rsid w:val="57B54076"/>
    <w:rsid w:val="57E85777"/>
    <w:rsid w:val="57FA305C"/>
    <w:rsid w:val="588550A8"/>
    <w:rsid w:val="58A859E9"/>
    <w:rsid w:val="59C74995"/>
    <w:rsid w:val="59C97390"/>
    <w:rsid w:val="5A7E239B"/>
    <w:rsid w:val="5AAE508B"/>
    <w:rsid w:val="5B0C0EFA"/>
    <w:rsid w:val="5C05452D"/>
    <w:rsid w:val="5C8B358E"/>
    <w:rsid w:val="5CDA0C68"/>
    <w:rsid w:val="5CDC6CF3"/>
    <w:rsid w:val="5D0A45E6"/>
    <w:rsid w:val="5D7E4DE1"/>
    <w:rsid w:val="5E087995"/>
    <w:rsid w:val="5EFC5D20"/>
    <w:rsid w:val="5FA8334A"/>
    <w:rsid w:val="5FF07782"/>
    <w:rsid w:val="611415AF"/>
    <w:rsid w:val="614460EA"/>
    <w:rsid w:val="61917943"/>
    <w:rsid w:val="61C00506"/>
    <w:rsid w:val="62634739"/>
    <w:rsid w:val="62FD0342"/>
    <w:rsid w:val="63C00263"/>
    <w:rsid w:val="64343E60"/>
    <w:rsid w:val="65510DB4"/>
    <w:rsid w:val="65711D39"/>
    <w:rsid w:val="65E67391"/>
    <w:rsid w:val="66164E41"/>
    <w:rsid w:val="665D0276"/>
    <w:rsid w:val="66FC7702"/>
    <w:rsid w:val="680C13BF"/>
    <w:rsid w:val="686A0BB5"/>
    <w:rsid w:val="68F36CB8"/>
    <w:rsid w:val="69020B73"/>
    <w:rsid w:val="69AA4F30"/>
    <w:rsid w:val="6A2A695E"/>
    <w:rsid w:val="6A4D6E07"/>
    <w:rsid w:val="6BE40309"/>
    <w:rsid w:val="6C5628EC"/>
    <w:rsid w:val="6D251203"/>
    <w:rsid w:val="6D304D20"/>
    <w:rsid w:val="6D776C47"/>
    <w:rsid w:val="6E3F00B1"/>
    <w:rsid w:val="6E6852C9"/>
    <w:rsid w:val="6E7E0AE4"/>
    <w:rsid w:val="6FA72EBC"/>
    <w:rsid w:val="6FAA495C"/>
    <w:rsid w:val="6FEF781E"/>
    <w:rsid w:val="706F0D93"/>
    <w:rsid w:val="70DF6988"/>
    <w:rsid w:val="71825932"/>
    <w:rsid w:val="719D3F4D"/>
    <w:rsid w:val="723909E8"/>
    <w:rsid w:val="72B95936"/>
    <w:rsid w:val="72C90C1E"/>
    <w:rsid w:val="73050FFE"/>
    <w:rsid w:val="7323785A"/>
    <w:rsid w:val="736B48F2"/>
    <w:rsid w:val="73BF3FCC"/>
    <w:rsid w:val="748571A2"/>
    <w:rsid w:val="748D4BC1"/>
    <w:rsid w:val="74BD43ED"/>
    <w:rsid w:val="757E0FD3"/>
    <w:rsid w:val="75891663"/>
    <w:rsid w:val="75B876F7"/>
    <w:rsid w:val="75C43509"/>
    <w:rsid w:val="768354CE"/>
    <w:rsid w:val="77CE14D3"/>
    <w:rsid w:val="77EA7CEE"/>
    <w:rsid w:val="78D550E5"/>
    <w:rsid w:val="796D7657"/>
    <w:rsid w:val="797C3B32"/>
    <w:rsid w:val="79F4205E"/>
    <w:rsid w:val="7A394B64"/>
    <w:rsid w:val="7ABC6BE6"/>
    <w:rsid w:val="7ADC43B1"/>
    <w:rsid w:val="7BD3484E"/>
    <w:rsid w:val="7D294E36"/>
    <w:rsid w:val="7D4A0F4C"/>
    <w:rsid w:val="7DB81962"/>
    <w:rsid w:val="7DF02B5B"/>
    <w:rsid w:val="7E0D6316"/>
    <w:rsid w:val="7E392971"/>
    <w:rsid w:val="7E430C69"/>
    <w:rsid w:val="7E675674"/>
    <w:rsid w:val="7EB3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310FBC-56BD-4548-BA73-19F64D38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黑体" w:eastAsia="黑体" w:hAnsi="黑体" w:cstheme="minorBidi"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1331</Words>
  <Characters>7591</Characters>
  <Application>Microsoft Office Word</Application>
  <DocSecurity>0</DocSecurity>
  <Lines>63</Lines>
  <Paragraphs>17</Paragraphs>
  <ScaleCrop>false</ScaleCrop>
  <Company>微软中国</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加加</cp:lastModifiedBy>
  <cp:revision>35</cp:revision>
  <dcterms:created xsi:type="dcterms:W3CDTF">2019-02-25T12:00:00Z</dcterms:created>
  <dcterms:modified xsi:type="dcterms:W3CDTF">2019-02-26T01:39:00Z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